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359"/>
        <w:spacing w:after="0"/>
        <w:rPr>
          <w:sz w:val="20"/>
          <w:szCs w:val="20"/>
          <w:color w:val="auto"/>
        </w:rPr>
      </w:pPr>
      <w:r>
        <w:rPr>
          <w:rFonts w:ascii="Arial" w:cs="Arial" w:eastAsia="Arial" w:hAnsi="Arial"/>
          <w:sz w:val="32"/>
          <w:szCs w:val="32"/>
          <w:b w:val="1"/>
          <w:bCs w:val="1"/>
          <w:color w:val="auto"/>
        </w:rPr>
        <w:drawing>
          <wp:anchor simplePos="0" relativeHeight="251657728" behindDoc="1" locked="0" layoutInCell="0" allowOverlap="1">
            <wp:simplePos x="0" y="0"/>
            <wp:positionH relativeFrom="page">
              <wp:posOffset>276860</wp:posOffset>
            </wp:positionH>
            <wp:positionV relativeFrom="page">
              <wp:posOffset>166370</wp:posOffset>
            </wp:positionV>
            <wp:extent cx="699516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page">
              <wp:posOffset>276860</wp:posOffset>
            </wp:positionH>
            <wp:positionV relativeFrom="page">
              <wp:posOffset>208915</wp:posOffset>
            </wp:positionV>
            <wp:extent cx="699516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995160" cy="8255"/>
                    </a:xfrm>
                    <a:prstGeom prst="rect">
                      <a:avLst/>
                    </a:prstGeom>
                    <a:noFill/>
                  </pic:spPr>
                </pic:pic>
              </a:graphicData>
            </a:graphic>
          </wp:anchor>
        </w:drawing>
        <w:t>UNITED STATES</w:t>
      </w:r>
    </w:p>
    <w:p>
      <w:pPr>
        <w:spacing w:after="0" w:line="31" w:lineRule="exact"/>
        <w:rPr>
          <w:sz w:val="24"/>
          <w:szCs w:val="24"/>
          <w:color w:val="auto"/>
        </w:rPr>
      </w:pPr>
    </w:p>
    <w:p>
      <w:pPr>
        <w:jc w:val="center"/>
        <w:ind w:right="-359"/>
        <w:spacing w:after="0"/>
        <w:rPr>
          <w:sz w:val="20"/>
          <w:szCs w:val="20"/>
          <w:color w:val="auto"/>
        </w:rPr>
      </w:pPr>
      <w:r>
        <w:rPr>
          <w:rFonts w:ascii="Arial" w:cs="Arial" w:eastAsia="Arial" w:hAnsi="Arial"/>
          <w:sz w:val="32"/>
          <w:szCs w:val="32"/>
          <w:b w:val="1"/>
          <w:bCs w:val="1"/>
          <w:color w:val="auto"/>
        </w:rPr>
        <w:t>SECURITIES AND EXCHANGE COMMISSION</w:t>
      </w:r>
    </w:p>
    <w:p>
      <w:pPr>
        <w:jc w:val="center"/>
        <w:ind w:right="-359"/>
        <w:spacing w:after="0"/>
        <w:rPr>
          <w:sz w:val="20"/>
          <w:szCs w:val="20"/>
          <w:color w:val="auto"/>
        </w:rPr>
      </w:pPr>
      <w:r>
        <w:rPr>
          <w:rFonts w:ascii="Arial" w:cs="Arial" w:eastAsia="Arial" w:hAnsi="Arial"/>
          <w:sz w:val="22"/>
          <w:szCs w:val="22"/>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227330</wp:posOffset>
            </wp:positionV>
            <wp:extent cx="147447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26" w:lineRule="exact"/>
        <w:rPr>
          <w:sz w:val="24"/>
          <w:szCs w:val="24"/>
          <w:color w:val="auto"/>
        </w:rPr>
      </w:pPr>
    </w:p>
    <w:p>
      <w:pPr>
        <w:jc w:val="center"/>
        <w:ind w:right="-359"/>
        <w:spacing w:after="0"/>
        <w:rPr>
          <w:sz w:val="20"/>
          <w:szCs w:val="20"/>
          <w:color w:val="auto"/>
        </w:rPr>
      </w:pPr>
      <w:r>
        <w:rPr>
          <w:rFonts w:ascii="Arial" w:cs="Arial" w:eastAsia="Arial" w:hAnsi="Arial"/>
          <w:sz w:val="32"/>
          <w:szCs w:val="32"/>
          <w:b w:val="1"/>
          <w:bCs w:val="1"/>
          <w:color w:val="auto"/>
        </w:rPr>
        <w:t>FORM 6-K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247015</wp:posOffset>
            </wp:positionV>
            <wp:extent cx="147447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71" w:lineRule="exact"/>
        <w:rPr>
          <w:sz w:val="24"/>
          <w:szCs w:val="24"/>
          <w:color w:val="auto"/>
        </w:rPr>
      </w:pPr>
    </w:p>
    <w:p>
      <w:pPr>
        <w:jc w:val="center"/>
        <w:ind w:right="-339"/>
        <w:spacing w:after="0"/>
        <w:rPr>
          <w:sz w:val="20"/>
          <w:szCs w:val="20"/>
          <w:color w:val="auto"/>
        </w:rPr>
      </w:pPr>
      <w:r>
        <w:rPr>
          <w:rFonts w:ascii="Arial" w:cs="Arial" w:eastAsia="Arial" w:hAnsi="Arial"/>
          <w:sz w:val="22"/>
          <w:szCs w:val="22"/>
          <w:b w:val="1"/>
          <w:bCs w:val="1"/>
          <w:color w:val="auto"/>
        </w:rPr>
        <w:t>REPORT OF FOREIGN PRIVATE ISSUER</w:t>
      </w:r>
    </w:p>
    <w:p>
      <w:pPr>
        <w:spacing w:after="0" w:line="4" w:lineRule="exact"/>
        <w:rPr>
          <w:sz w:val="24"/>
          <w:szCs w:val="24"/>
          <w:color w:val="auto"/>
        </w:rPr>
      </w:pPr>
    </w:p>
    <w:p>
      <w:pPr>
        <w:jc w:val="center"/>
        <w:ind w:right="-359"/>
        <w:spacing w:after="0"/>
        <w:rPr>
          <w:sz w:val="20"/>
          <w:szCs w:val="20"/>
          <w:color w:val="auto"/>
        </w:rPr>
      </w:pPr>
      <w:r>
        <w:rPr>
          <w:rFonts w:ascii="Arial" w:cs="Arial" w:eastAsia="Arial" w:hAnsi="Arial"/>
          <w:sz w:val="22"/>
          <w:szCs w:val="22"/>
          <w:b w:val="1"/>
          <w:bCs w:val="1"/>
          <w:color w:val="auto"/>
        </w:rPr>
        <w:t>PURSUANT TO RULE 13a-16 OR 15d-16</w:t>
      </w:r>
    </w:p>
    <w:p>
      <w:pPr>
        <w:jc w:val="center"/>
        <w:ind w:right="-359"/>
        <w:spacing w:after="0"/>
        <w:rPr>
          <w:sz w:val="20"/>
          <w:szCs w:val="20"/>
          <w:color w:val="auto"/>
        </w:rPr>
      </w:pPr>
      <w:r>
        <w:rPr>
          <w:rFonts w:ascii="Arial" w:cs="Arial" w:eastAsia="Arial" w:hAnsi="Arial"/>
          <w:sz w:val="22"/>
          <w:szCs w:val="22"/>
          <w:b w:val="1"/>
          <w:bCs w:val="1"/>
          <w:color w:val="auto"/>
        </w:rPr>
        <w:t>OF THE SECURITIES EXCHANGE ACT OF 1934</w:t>
      </w:r>
    </w:p>
    <w:p>
      <w:pPr>
        <w:spacing w:after="0" w:line="191"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For the month of November 2021</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240030</wp:posOffset>
            </wp:positionV>
            <wp:extent cx="147447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70"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Commission File Number: 001-38590</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248920</wp:posOffset>
            </wp:positionV>
            <wp:extent cx="147447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58" w:lineRule="exact"/>
        <w:rPr>
          <w:sz w:val="24"/>
          <w:szCs w:val="24"/>
          <w:color w:val="auto"/>
        </w:rPr>
      </w:pPr>
    </w:p>
    <w:p>
      <w:pPr>
        <w:jc w:val="center"/>
        <w:ind w:right="-359"/>
        <w:spacing w:after="0"/>
        <w:rPr>
          <w:sz w:val="20"/>
          <w:szCs w:val="20"/>
          <w:color w:val="auto"/>
        </w:rPr>
      </w:pPr>
      <w:r>
        <w:rPr>
          <w:rFonts w:ascii="Arial" w:cs="Arial" w:eastAsia="Arial" w:hAnsi="Arial"/>
          <w:sz w:val="43"/>
          <w:szCs w:val="43"/>
          <w:b w:val="1"/>
          <w:bCs w:val="1"/>
          <w:color w:val="auto"/>
        </w:rPr>
        <w:t>CANGO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253365</wp:posOffset>
            </wp:positionV>
            <wp:extent cx="147447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91"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10A, Building 3, Youyou Century Plaza</w:t>
      </w:r>
    </w:p>
    <w:p>
      <w:pPr>
        <w:spacing w:after="0" w:line="27"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428 South Yanggao Road</w:t>
      </w:r>
    </w:p>
    <w:p>
      <w:pPr>
        <w:spacing w:after="0" w:line="9"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Pudong New Area, Shanghai 200127</w:t>
      </w:r>
    </w:p>
    <w:p>
      <w:pPr>
        <w:spacing w:after="0" w:line="9"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People’s Republic of China</w:t>
      </w:r>
    </w:p>
    <w:p>
      <w:pPr>
        <w:spacing w:after="0" w:line="2" w:lineRule="exact"/>
        <w:rPr>
          <w:sz w:val="24"/>
          <w:szCs w:val="24"/>
          <w:color w:val="auto"/>
        </w:rPr>
      </w:pPr>
    </w:p>
    <w:p>
      <w:pPr>
        <w:jc w:val="center"/>
        <w:ind w:right="-359"/>
        <w:spacing w:after="0"/>
        <w:rPr>
          <w:sz w:val="20"/>
          <w:szCs w:val="20"/>
          <w:color w:val="auto"/>
        </w:rPr>
      </w:pPr>
      <w:r>
        <w:rPr>
          <w:rFonts w:ascii="Arial" w:cs="Arial" w:eastAsia="Arial" w:hAnsi="Arial"/>
          <w:sz w:val="14"/>
          <w:szCs w:val="14"/>
          <w:b w:val="1"/>
          <w:bCs w:val="1"/>
          <w:color w:val="auto"/>
        </w:rPr>
        <w:t>(Address of principal executive offices)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219075</wp:posOffset>
            </wp:positionV>
            <wp:extent cx="147447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40"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Form 20-F or Form 40-F.</w:t>
      </w:r>
    </w:p>
    <w:p>
      <w:pPr>
        <w:spacing w:after="0" w:line="192" w:lineRule="exact"/>
        <w:rPr>
          <w:sz w:val="24"/>
          <w:szCs w:val="24"/>
          <w:color w:val="auto"/>
        </w:rPr>
      </w:pPr>
    </w:p>
    <w:p>
      <w:pPr>
        <w:ind w:left="4180"/>
        <w:spacing w:after="0" w:line="207" w:lineRule="exact"/>
        <w:tabs>
          <w:tab w:leader="none" w:pos="57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Form 40-F </w:t>
      </w:r>
      <w:r>
        <w:rPr>
          <w:rFonts w:ascii="MS PGothic" w:cs="MS PGothic" w:eastAsia="MS PGothic" w:hAnsi="MS PGothic"/>
          <w:sz w:val="17"/>
          <w:szCs w:val="17"/>
          <w:color w:val="auto"/>
        </w:rPr>
        <w:t>☐</w:t>
      </w:r>
    </w:p>
    <w:p>
      <w:pPr>
        <w:spacing w:after="0" w:line="225" w:lineRule="exact"/>
        <w:rPr>
          <w:sz w:val="24"/>
          <w:szCs w:val="24"/>
          <w:color w:val="auto"/>
        </w:rPr>
      </w:pPr>
    </w:p>
    <w:p>
      <w:pPr>
        <w:spacing w:after="0" w:line="207" w:lineRule="exact"/>
        <w:rPr>
          <w:sz w:val="20"/>
          <w:szCs w:val="20"/>
          <w:color w:val="auto"/>
        </w:rPr>
      </w:pPr>
      <w:r>
        <w:rPr>
          <w:rFonts w:ascii="Arial" w:cs="Arial" w:eastAsia="Arial" w:hAnsi="Arial"/>
          <w:sz w:val="18"/>
          <w:szCs w:val="18"/>
          <w:color w:val="auto"/>
        </w:rPr>
        <w:t xml:space="preserve">Indicate by check mark if the registrant is submitting the Form 6-K in paper as permitted by Regulation S-T Rule 101(b)(1): </w:t>
      </w:r>
      <w:r>
        <w:rPr>
          <w:rFonts w:ascii="MS PGothic" w:cs="MS PGothic" w:eastAsia="MS PGothic" w:hAnsi="MS PGothic"/>
          <w:sz w:val="18"/>
          <w:szCs w:val="18"/>
          <w:color w:val="auto"/>
        </w:rPr>
        <w:t>☐</w:t>
      </w:r>
    </w:p>
    <w:p>
      <w:pPr>
        <w:spacing w:after="0" w:line="225" w:lineRule="exact"/>
        <w:rPr>
          <w:sz w:val="24"/>
          <w:szCs w:val="24"/>
          <w:color w:val="auto"/>
        </w:rPr>
      </w:pPr>
    </w:p>
    <w:p>
      <w:pPr>
        <w:spacing w:after="0" w:line="207" w:lineRule="exact"/>
        <w:rPr>
          <w:sz w:val="20"/>
          <w:szCs w:val="20"/>
          <w:color w:val="auto"/>
        </w:rPr>
      </w:pPr>
      <w:r>
        <w:rPr>
          <w:rFonts w:ascii="Arial" w:cs="Arial" w:eastAsia="Arial" w:hAnsi="Arial"/>
          <w:sz w:val="18"/>
          <w:szCs w:val="18"/>
          <w:color w:val="auto"/>
        </w:rPr>
        <w:t xml:space="preserve">Indicate by check mark if the registrant is submitting the Form 6-K in paper as permitted by Regulation S-T Rule 101(b)(7):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by furnishing the information contained in this Form, the registrant is also thereby furnishing the information to the Commission pursuant to Rule 12g3-2(b) under the Securities Exchange Act of 1934.</w:t>
      </w:r>
    </w:p>
    <w:p>
      <w:pPr>
        <w:spacing w:after="0" w:line="138" w:lineRule="exact"/>
        <w:rPr>
          <w:sz w:val="24"/>
          <w:szCs w:val="24"/>
          <w:color w:val="auto"/>
        </w:rPr>
      </w:pPr>
    </w:p>
    <w:p>
      <w:pPr>
        <w:jc w:val="center"/>
        <w:ind w:right="-339"/>
        <w:spacing w:after="0" w:line="207" w:lineRule="exact"/>
        <w:tabs>
          <w:tab w:leader="none" w:pos="5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N/A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wp:posOffset>
            </wp:positionH>
            <wp:positionV relativeFrom="paragraph">
              <wp:posOffset>160655</wp:posOffset>
            </wp:positionV>
            <wp:extent cx="699516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203200</wp:posOffset>
            </wp:positionV>
            <wp:extent cx="699516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995160" cy="8255"/>
                    </a:xfrm>
                    <a:prstGeom prst="rect">
                      <a:avLst/>
                    </a:prstGeom>
                    <a:noFill/>
                  </pic:spPr>
                </pic:pic>
              </a:graphicData>
            </a:graphic>
          </wp:anchor>
        </w:drawing>
      </w:r>
    </w:p>
    <w:p>
      <w:pPr>
        <w:sectPr>
          <w:pgSz w:w="11900" w:h="16838" w:orient="portrait"/>
          <w:cols w:equalWidth="0" w:num="1">
            <w:col w:w="10660"/>
          </w:cols>
          <w:pgMar w:left="440" w:top="368" w:right="799" w:bottom="1440" w:gutter="0" w:footer="0" w:header="0"/>
        </w:sectPr>
      </w:pPr>
    </w:p>
    <w:bookmarkStart w:id="1" w:name="page2"/>
    <w:bookmarkEnd w:id="1"/>
    <w:p>
      <w:pPr>
        <w:ind w:left="3600"/>
        <w:spacing w:after="0"/>
        <w:rPr>
          <w:sz w:val="20"/>
          <w:szCs w:val="20"/>
          <w:color w:val="auto"/>
        </w:rPr>
      </w:pPr>
      <w:r>
        <w:rPr>
          <w:rFonts w:ascii="Arial" w:cs="Arial" w:eastAsia="Arial" w:hAnsi="Arial"/>
          <w:sz w:val="17"/>
          <w:szCs w:val="17"/>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74865" cy="38735"/>
                    </a:xfrm>
                    <a:prstGeom prst="rect">
                      <a:avLst/>
                    </a:prstGeom>
                    <a:noFill/>
                  </pic:spPr>
                </pic:pic>
              </a:graphicData>
            </a:graphic>
          </wp:anchor>
        </w:drawing>
        <w:t>TABLE OF CONTENTS</w:t>
      </w:r>
    </w:p>
    <w:p>
      <w:pPr>
        <w:spacing w:after="0" w:line="237" w:lineRule="exact"/>
        <w:rPr>
          <w:sz w:val="20"/>
          <w:szCs w:val="20"/>
          <w:color w:val="auto"/>
        </w:rPr>
      </w:pPr>
    </w:p>
    <w:p>
      <w:pPr>
        <w:ind w:left="4460" w:right="3939" w:hanging="5462"/>
        <w:spacing w:after="0" w:line="387" w:lineRule="auto"/>
        <w:rPr>
          <w:rFonts w:ascii="Arial" w:cs="Arial" w:eastAsia="Arial" w:hAnsi="Arial"/>
          <w:sz w:val="16"/>
          <w:szCs w:val="16"/>
          <w:u w:val="single" w:color="auto"/>
          <w:color w:val="0000EE"/>
        </w:rPr>
      </w:pPr>
      <w:hyperlink w:anchor="page4">
        <w:r>
          <w:rPr>
            <w:rFonts w:ascii="Arial" w:cs="Arial" w:eastAsia="Arial" w:hAnsi="Arial"/>
            <w:sz w:val="16"/>
            <w:szCs w:val="16"/>
            <w:u w:val="single" w:color="auto"/>
            <w:color w:val="0000EE"/>
          </w:rPr>
          <w:t>Exhibit 99.1 — Cango Inc. Reports Third Quarter 2021 Unaudited Financial Results</w:t>
        </w:r>
      </w:hyperlink>
      <w:r>
        <w:rPr>
          <w:rFonts w:ascii="Arial" w:cs="Arial" w:eastAsia="Arial" w:hAnsi="Arial"/>
          <w:sz w:val="16"/>
          <w:szCs w:val="16"/>
          <w:u w:val="single" w:color="auto"/>
          <w:color w:val="0000EE"/>
        </w:rPr>
        <w:t xml:space="preserve"> </w:t>
      </w:r>
      <w:r>
        <w:rPr>
          <w:rFonts w:ascii="Arial" w:cs="Arial" w:eastAsia="Arial" w:hAnsi="Arial"/>
          <w:sz w:val="16"/>
          <w:szCs w:val="16"/>
          <w:color w:val="000000"/>
        </w:rPr>
        <w:t>2</w:t>
      </w:r>
    </w:p>
    <w:p>
      <w:pPr>
        <w:sectPr>
          <w:pgSz w:w="11900" w:h="16838" w:orient="portrait"/>
          <w:cols w:equalWidth="0" w:num="1">
            <w:col w:w="9019"/>
          </w:cols>
          <w:pgMar w:left="1440" w:top="274" w:right="1440" w:bottom="1440" w:gutter="0" w:footer="0" w:header="0"/>
        </w:sectPr>
      </w:pPr>
    </w:p>
    <w:bookmarkStart w:id="2" w:name="page3"/>
    <w:bookmarkEnd w:id="2"/>
    <w:p>
      <w:pPr>
        <w:jc w:val="center"/>
        <w:ind w:right="-19"/>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74865" cy="38100"/>
                    </a:xfrm>
                    <a:prstGeom prst="rect">
                      <a:avLst/>
                    </a:prstGeom>
                    <a:noFill/>
                  </pic:spPr>
                </pic:pic>
              </a:graphicData>
            </a:graphic>
          </wp:anchor>
        </w:drawing>
        <w:t>SIGNATURE</w:t>
      </w:r>
    </w:p>
    <w:p>
      <w:pPr>
        <w:spacing w:after="0" w:line="229" w:lineRule="exact"/>
        <w:rPr>
          <w:sz w:val="20"/>
          <w:szCs w:val="20"/>
          <w:color w:val="auto"/>
        </w:rPr>
      </w:pPr>
    </w:p>
    <w:p>
      <w:pPr>
        <w:ind w:firstLine="991"/>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97"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CANGO INC.</w:t>
      </w:r>
    </w:p>
    <w:p>
      <w:pPr>
        <w:spacing w:after="0" w:line="225"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Yongyi Zhang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4566285</wp:posOffset>
            </wp:positionH>
            <wp:positionV relativeFrom="paragraph">
              <wp:posOffset>14605</wp:posOffset>
            </wp:positionV>
            <wp:extent cx="242570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2425700" cy="8890"/>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Yongyi Zhang</w:t>
      </w:r>
    </w:p>
    <w:p>
      <w:pPr>
        <w:spacing w:after="0" w:line="23"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Title:</w:t>
        <w:tab/>
        <w:t>Chief Financial Officer</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Date: November 24, 2021</w:t>
      </w:r>
    </w:p>
    <w:p>
      <w:pPr>
        <w:spacing w:after="0" w:line="15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w:t>
      </w:r>
    </w:p>
    <w:p>
      <w:pPr>
        <w:sectPr>
          <w:pgSz w:w="11900" w:h="16838" w:orient="portrait"/>
          <w:cols w:equalWidth="0" w:num="1">
            <w:col w:w="11000"/>
          </w:cols>
          <w:pgMar w:left="440" w:top="270" w:right="459" w:bottom="1440" w:gutter="0" w:footer="0" w:header="0"/>
        </w:sectPr>
      </w:pPr>
    </w:p>
    <w:bookmarkStart w:id="3" w:name="page4"/>
    <w:bookmarkEnd w:id="3"/>
    <w:p>
      <w:pPr>
        <w:jc w:val="right"/>
        <w:spacing w:after="0"/>
        <w:rPr>
          <w:sz w:val="20"/>
          <w:szCs w:val="20"/>
          <w:color w:val="auto"/>
        </w:rPr>
      </w:pPr>
      <w:r>
        <w:rPr>
          <w:rFonts w:ascii="Arial" w:cs="Arial" w:eastAsia="Arial" w:hAnsi="Arial"/>
          <w:sz w:val="18"/>
          <w:szCs w:val="18"/>
          <w:b w:val="1"/>
          <w:bCs w:val="1"/>
          <w:color w:val="auto"/>
        </w:rPr>
        <w:t>Exhibit 99.1</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Cango Inc. Reports Third Quarter 2021 Unaudited Financial Results</w:t>
      </w:r>
    </w:p>
    <w:p>
      <w:pPr>
        <w:spacing w:after="0" w:line="229" w:lineRule="exact"/>
        <w:rPr>
          <w:sz w:val="20"/>
          <w:szCs w:val="20"/>
          <w:color w:val="auto"/>
        </w:rPr>
      </w:pPr>
    </w:p>
    <w:p>
      <w:pPr>
        <w:ind w:right="80"/>
        <w:spacing w:after="0" w:line="277" w:lineRule="auto"/>
        <w:rPr>
          <w:sz w:val="20"/>
          <w:szCs w:val="20"/>
          <w:color w:val="auto"/>
        </w:rPr>
      </w:pPr>
      <w:r>
        <w:rPr>
          <w:rFonts w:ascii="Arial" w:cs="Arial" w:eastAsia="Arial" w:hAnsi="Arial"/>
          <w:sz w:val="18"/>
          <w:szCs w:val="18"/>
          <w:color w:val="auto"/>
        </w:rPr>
        <w:t>SHANGHAI, November 22, 2021 /PRNewswire/ -- Cango Inc. (NYSE: CANG) (“Cango” or the “Company”), a leading automotive transaction service platform in China, today announced its unaudited financial results for the third quarter of 2021.</w:t>
      </w:r>
    </w:p>
    <w:p>
      <w:pPr>
        <w:spacing w:after="0" w:line="2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Third Quarter 2021 Financial and Operational Highlights</w:t>
      </w:r>
    </w:p>
    <w:p>
      <w:pPr>
        <w:spacing w:after="0" w:line="135" w:lineRule="exact"/>
        <w:rPr>
          <w:sz w:val="20"/>
          <w:szCs w:val="20"/>
          <w:color w:val="auto"/>
        </w:rPr>
      </w:pPr>
    </w:p>
    <w:p>
      <w:pPr>
        <w:ind w:left="960" w:right="500" w:hanging="424"/>
        <w:spacing w:after="0" w:line="286" w:lineRule="auto"/>
        <w:tabs>
          <w:tab w:leader="none" w:pos="960" w:val="left"/>
        </w:tabs>
        <w:numPr>
          <w:ilvl w:val="0"/>
          <w:numId w:val="1"/>
        </w:numPr>
        <w:rPr>
          <w:rFonts w:ascii="Arial" w:cs="Arial" w:eastAsia="Arial" w:hAnsi="Arial"/>
          <w:sz w:val="17"/>
          <w:szCs w:val="17"/>
          <w:color w:val="auto"/>
        </w:rPr>
      </w:pPr>
      <w:r>
        <w:rPr>
          <w:rFonts w:ascii="Arial" w:cs="Arial" w:eastAsia="Arial" w:hAnsi="Arial"/>
          <w:sz w:val="17"/>
          <w:szCs w:val="17"/>
          <w:color w:val="auto"/>
        </w:rPr>
        <w:t>Total revenues were RMB800.6 million (US$124.3 million), an 84.1% increase from RMB434.9 million in the same period of 2020, outperforming the high end of the Company’s guidance by 6.8%. The increase was mainly driven by the increased amounts of both financing transactions the Company facilitated and car trading transactions in the third quarter of 2021.</w:t>
      </w:r>
    </w:p>
    <w:p>
      <w:pPr>
        <w:spacing w:after="0" w:line="70" w:lineRule="exact"/>
        <w:rPr>
          <w:rFonts w:ascii="Arial" w:cs="Arial" w:eastAsia="Arial" w:hAnsi="Arial"/>
          <w:sz w:val="17"/>
          <w:szCs w:val="17"/>
          <w:color w:val="auto"/>
        </w:rPr>
      </w:pPr>
    </w:p>
    <w:p>
      <w:pPr>
        <w:ind w:left="960" w:hanging="424"/>
        <w:spacing w:after="0"/>
        <w:tabs>
          <w:tab w:leader="none" w:pos="960" w:val="left"/>
        </w:tabs>
        <w:numPr>
          <w:ilvl w:val="0"/>
          <w:numId w:val="1"/>
        </w:numPr>
        <w:rPr>
          <w:rFonts w:ascii="Arial" w:cs="Arial" w:eastAsia="Arial" w:hAnsi="Arial"/>
          <w:sz w:val="17"/>
          <w:szCs w:val="17"/>
          <w:color w:val="auto"/>
        </w:rPr>
      </w:pPr>
      <w:r>
        <w:rPr>
          <w:rFonts w:ascii="Arial" w:cs="Arial" w:eastAsia="Arial" w:hAnsi="Arial"/>
          <w:sz w:val="17"/>
          <w:szCs w:val="17"/>
          <w:color w:val="auto"/>
        </w:rPr>
        <w:t>Car trading transactions revenues were RMB429.2 million (US$66.6 million), or 53.6% of total revenues in the third quarter of 2021.</w:t>
      </w:r>
    </w:p>
    <w:p>
      <w:pPr>
        <w:spacing w:after="0" w:line="142" w:lineRule="exact"/>
        <w:rPr>
          <w:rFonts w:ascii="Arial" w:cs="Arial" w:eastAsia="Arial" w:hAnsi="Arial"/>
          <w:sz w:val="17"/>
          <w:szCs w:val="17"/>
          <w:color w:val="auto"/>
        </w:rPr>
      </w:pPr>
    </w:p>
    <w:p>
      <w:pPr>
        <w:ind w:left="960" w:right="220" w:hanging="424"/>
        <w:spacing w:after="0" w:line="277" w:lineRule="auto"/>
        <w:tabs>
          <w:tab w:leader="none" w:pos="960" w:val="left"/>
        </w:tabs>
        <w:numPr>
          <w:ilvl w:val="0"/>
          <w:numId w:val="1"/>
        </w:numPr>
        <w:rPr>
          <w:rFonts w:ascii="Arial" w:cs="Arial" w:eastAsia="Arial" w:hAnsi="Arial"/>
          <w:sz w:val="18"/>
          <w:szCs w:val="18"/>
          <w:color w:val="auto"/>
        </w:rPr>
      </w:pPr>
      <w:r>
        <w:rPr>
          <w:rFonts w:ascii="Arial" w:cs="Arial" w:eastAsia="Arial" w:hAnsi="Arial"/>
          <w:sz w:val="18"/>
          <w:szCs w:val="18"/>
          <w:color w:val="auto"/>
        </w:rPr>
        <w:t>Automotive financing facilitation revenues were RMB266.5 million (US$41.4 million), a 15.8% increase from RMB230.2 million in the same period of 2020.</w:t>
      </w:r>
    </w:p>
    <w:p>
      <w:pPr>
        <w:spacing w:after="0" w:line="75" w:lineRule="exact"/>
        <w:rPr>
          <w:rFonts w:ascii="Arial" w:cs="Arial" w:eastAsia="Arial" w:hAnsi="Arial"/>
          <w:sz w:val="18"/>
          <w:szCs w:val="18"/>
          <w:color w:val="auto"/>
        </w:rPr>
      </w:pPr>
    </w:p>
    <w:p>
      <w:pPr>
        <w:ind w:left="960" w:right="220" w:hanging="424"/>
        <w:spacing w:after="0" w:line="263" w:lineRule="auto"/>
        <w:tabs>
          <w:tab w:leader="none" w:pos="96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amount of financing transactions the Company facilitated in the third quarter of 2021 was RMB6,210.7 million (US$963.9 million). The total outstanding balance of financing transactions the Company facilitated was RMB47,955.2 million (US$7,442.5 million) as of September 30, 2021.</w:t>
      </w:r>
    </w:p>
    <w:p>
      <w:pPr>
        <w:spacing w:after="0" w:line="89" w:lineRule="exact"/>
        <w:rPr>
          <w:rFonts w:ascii="Arial" w:cs="Arial" w:eastAsia="Arial" w:hAnsi="Arial"/>
          <w:sz w:val="18"/>
          <w:szCs w:val="18"/>
          <w:color w:val="auto"/>
        </w:rPr>
      </w:pPr>
    </w:p>
    <w:p>
      <w:pPr>
        <w:ind w:left="960" w:right="300" w:hanging="424"/>
        <w:spacing w:after="0" w:line="308" w:lineRule="auto"/>
        <w:tabs>
          <w:tab w:leader="none" w:pos="960" w:val="left"/>
        </w:tabs>
        <w:numPr>
          <w:ilvl w:val="0"/>
          <w:numId w:val="1"/>
        </w:numPr>
        <w:rPr>
          <w:rFonts w:ascii="Arial" w:cs="Arial" w:eastAsia="Arial" w:hAnsi="Arial"/>
          <w:sz w:val="17"/>
          <w:szCs w:val="17"/>
          <w:color w:val="auto"/>
        </w:rPr>
      </w:pPr>
      <w:r>
        <w:rPr>
          <w:rFonts w:ascii="Arial" w:cs="Arial" w:eastAsia="Arial" w:hAnsi="Arial"/>
          <w:sz w:val="17"/>
          <w:szCs w:val="17"/>
          <w:color w:val="auto"/>
        </w:rPr>
        <w:t>M1+ and M3+ overdue ratios for all financing transactions that remained outstanding and were facilitated by the Company were 1.58% and 0.76%, respectively, as of September 30, 2021, compared to 1.35% and 0.69%, respectively, as of June 30, 2021.</w:t>
      </w:r>
    </w:p>
    <w:p>
      <w:pPr>
        <w:spacing w:after="0" w:line="51" w:lineRule="exact"/>
        <w:rPr>
          <w:rFonts w:ascii="Arial" w:cs="Arial" w:eastAsia="Arial" w:hAnsi="Arial"/>
          <w:sz w:val="17"/>
          <w:szCs w:val="17"/>
          <w:color w:val="auto"/>
        </w:rPr>
      </w:pPr>
    </w:p>
    <w:p>
      <w:pPr>
        <w:ind w:left="960" w:hanging="424"/>
        <w:spacing w:after="0"/>
        <w:tabs>
          <w:tab w:leader="none" w:pos="960" w:val="left"/>
        </w:tabs>
        <w:numPr>
          <w:ilvl w:val="0"/>
          <w:numId w:val="1"/>
        </w:numPr>
        <w:rPr>
          <w:rFonts w:ascii="Arial" w:cs="Arial" w:eastAsia="Arial" w:hAnsi="Arial"/>
          <w:sz w:val="17"/>
          <w:szCs w:val="17"/>
          <w:color w:val="auto"/>
        </w:rPr>
      </w:pPr>
      <w:r>
        <w:rPr>
          <w:rFonts w:ascii="Arial" w:cs="Arial" w:eastAsia="Arial" w:hAnsi="Arial"/>
          <w:sz w:val="17"/>
          <w:szCs w:val="17"/>
          <w:color w:val="auto"/>
        </w:rPr>
        <w:t>The number of dealers covered by the Company was 47,718 as of September 30, 2021, compared to 47,740 as of June 30, 2021.</w:t>
      </w:r>
    </w:p>
    <w:p>
      <w:pPr>
        <w:spacing w:after="0" w:line="237" w:lineRule="exact"/>
        <w:rPr>
          <w:sz w:val="20"/>
          <w:szCs w:val="20"/>
          <w:color w:val="auto"/>
        </w:rPr>
      </w:pPr>
    </w:p>
    <w:p>
      <w:pPr>
        <w:ind w:right="120"/>
        <w:spacing w:after="0" w:line="263" w:lineRule="auto"/>
        <w:rPr>
          <w:sz w:val="20"/>
          <w:szCs w:val="20"/>
          <w:color w:val="auto"/>
        </w:rPr>
      </w:pPr>
      <w:r>
        <w:rPr>
          <w:rFonts w:ascii="Arial" w:cs="Arial" w:eastAsia="Arial" w:hAnsi="Arial"/>
          <w:sz w:val="18"/>
          <w:szCs w:val="18"/>
          <w:color w:val="auto"/>
        </w:rPr>
        <w:t>Mr. Jiayuan Lin, Chief Executive Officer of Cango, commented, “As expected, the industry headwinds created by the global chip shortage continued to impact our business in the third quarter. Since the end of the second quarter, we have been proactively responding to industry changes, and delivered third quarter total revenues of RMB800.6 million, above our guidance.</w:t>
      </w:r>
    </w:p>
    <w:p>
      <w:pPr>
        <w:spacing w:after="0" w:line="184" w:lineRule="exact"/>
        <w:rPr>
          <w:sz w:val="20"/>
          <w:szCs w:val="20"/>
          <w:color w:val="auto"/>
        </w:rPr>
      </w:pPr>
    </w:p>
    <w:p>
      <w:pPr>
        <w:ind w:right="180"/>
        <w:spacing w:after="0" w:line="254" w:lineRule="auto"/>
        <w:rPr>
          <w:sz w:val="20"/>
          <w:szCs w:val="20"/>
          <w:color w:val="auto"/>
        </w:rPr>
      </w:pPr>
      <w:r>
        <w:rPr>
          <w:rFonts w:ascii="Arial" w:cs="Arial" w:eastAsia="Arial" w:hAnsi="Arial"/>
          <w:sz w:val="18"/>
          <w:szCs w:val="18"/>
          <w:color w:val="auto"/>
        </w:rPr>
        <w:t>Market disruptions had a particularly significant impact on our automotive financing facilitation business, leading to a decrease in the number of financing transactions the Company facilitated compared to the previous quarter. To address these challenges, we optimized our sales team’s organizational structure and focused on stimulating each salesperson’s output while advancing our expansion into the high-end segment of this market and exploring used car financing facilitation. We are also excited about our achievements in our car trading transactions business which is now serving as an important growth driver. ‘Cango Haoche,’ our B2B service platform providing one-stop transaction, logistics, finance, insurance and other auto-related services, has been widely recognized by dealers, garnering over 1.5 million total views since its launch in the second quarter. Moreover, our after-market services facilitation business made solid progress as we continued to establish cooperation with new energy vehicle manufacturers including Li Auto and HiPhi.”</w:t>
      </w:r>
    </w:p>
    <w:p>
      <w:pPr>
        <w:spacing w:after="0" w:line="12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w:t>
      </w:r>
    </w:p>
    <w:p>
      <w:pPr>
        <w:sectPr>
          <w:pgSz w:w="11900" w:h="16838" w:orient="portrait"/>
          <w:cols w:equalWidth="0" w:num="1">
            <w:col w:w="11020"/>
          </w:cols>
          <w:pgMar w:left="440" w:top="121" w:right="439" w:bottom="1440" w:gutter="0" w:footer="0" w:header="0"/>
        </w:sectPr>
      </w:pPr>
    </w:p>
    <w:bookmarkStart w:id="4" w:name="page5"/>
    <w:bookmarkEnd w:id="4"/>
    <w:p>
      <w:pPr>
        <w:ind w:right="60"/>
        <w:spacing w:after="0" w:line="311" w:lineRule="auto"/>
        <w:rPr>
          <w:sz w:val="20"/>
          <w:szCs w:val="20"/>
          <w:color w:val="auto"/>
        </w:rPr>
      </w:pPr>
      <w:r>
        <w:rPr>
          <w:rFonts w:ascii="Arial" w:cs="Arial" w:eastAsia="Arial" w:hAnsi="Arial"/>
          <w:sz w:val="16"/>
          <w:szCs w:val="16"/>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74865" cy="38735"/>
                    </a:xfrm>
                    <a:prstGeom prst="rect">
                      <a:avLst/>
                    </a:prstGeom>
                    <a:noFill/>
                  </pic:spPr>
                </pic:pic>
              </a:graphicData>
            </a:graphic>
          </wp:anchor>
        </w:drawing>
        <w:t>“Looking ahead, we expect the chip shortage-related upheaval in the auto market to linger for some time. Given the pervasiveness of the disruption, we remain cautious with respect to industry recovery. Nevertheless, we will continue to strengthen our platform and synergies between businesses in response to market changes, as well as capitalize on the promising opportunities we see in the new energy vehicle sector,” Mr. Lin concluded.</w:t>
      </w:r>
    </w:p>
    <w:p>
      <w:pPr>
        <w:spacing w:after="0" w:line="149" w:lineRule="exact"/>
        <w:rPr>
          <w:sz w:val="20"/>
          <w:szCs w:val="20"/>
          <w:color w:val="auto"/>
        </w:rPr>
      </w:pPr>
    </w:p>
    <w:p>
      <w:pPr>
        <w:ind w:right="160"/>
        <w:spacing w:after="0" w:line="257" w:lineRule="auto"/>
        <w:rPr>
          <w:sz w:val="20"/>
          <w:szCs w:val="20"/>
          <w:color w:val="auto"/>
        </w:rPr>
      </w:pPr>
      <w:r>
        <w:rPr>
          <w:rFonts w:ascii="Arial" w:cs="Arial" w:eastAsia="Arial" w:hAnsi="Arial"/>
          <w:sz w:val="18"/>
          <w:szCs w:val="18"/>
          <w:color w:val="auto"/>
        </w:rPr>
        <w:t>Mr. Yongyi Zhang, Chief Financial Officer of Cango, stated, “Despite the ongoing uncertainty due to the global chip shortage, our third quarter performance demonstrates our business model’s flexibility and resilience. Total revenues were RMB800.6 million, coming in above our guidance. We are in a healthy operational and financial position and we remain confident in our ability to navigate the industry turmoil. Looking ahead, we will continue to carefully manage our cost structure while improving operating efficiency and profitability, creating value for our shareholders in the long run.”</w:t>
      </w:r>
    </w:p>
    <w:p>
      <w:pPr>
        <w:spacing w:after="0" w:line="29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Third Quarter 2021 Financial Results</w:t>
      </w:r>
    </w:p>
    <w:p>
      <w:pPr>
        <w:spacing w:after="0" w:line="121" w:lineRule="exact"/>
        <w:rPr>
          <w:sz w:val="20"/>
          <w:szCs w:val="20"/>
          <w:color w:val="auto"/>
        </w:rPr>
      </w:pPr>
    </w:p>
    <w:p>
      <w:pPr>
        <w:spacing w:after="0"/>
        <w:rPr>
          <w:sz w:val="20"/>
          <w:szCs w:val="20"/>
          <w:color w:val="auto"/>
        </w:rPr>
      </w:pPr>
      <w:r>
        <w:rPr>
          <w:rFonts w:ascii="Arial" w:cs="Arial" w:eastAsia="Arial" w:hAnsi="Arial"/>
          <w:sz w:val="18"/>
          <w:szCs w:val="18"/>
          <w:color w:val="auto"/>
        </w:rPr>
        <w:t>REVENUES</w:t>
      </w:r>
    </w:p>
    <w:p>
      <w:pPr>
        <w:spacing w:after="0" w:line="117" w:lineRule="exact"/>
        <w:rPr>
          <w:sz w:val="20"/>
          <w:szCs w:val="20"/>
          <w:color w:val="auto"/>
        </w:rPr>
      </w:pPr>
    </w:p>
    <w:p>
      <w:pPr>
        <w:ind w:right="40"/>
        <w:spacing w:after="0" w:line="259" w:lineRule="auto"/>
        <w:rPr>
          <w:sz w:val="20"/>
          <w:szCs w:val="20"/>
          <w:color w:val="auto"/>
        </w:rPr>
      </w:pPr>
      <w:r>
        <w:rPr>
          <w:rFonts w:ascii="Arial" w:cs="Arial" w:eastAsia="Arial" w:hAnsi="Arial"/>
          <w:sz w:val="18"/>
          <w:szCs w:val="18"/>
          <w:color w:val="auto"/>
        </w:rPr>
        <w:t>Total revenues in the third quarter of 2021 increased by 84.1% to RMB800.6 million (US$124.3 million) from RMB434.9 million in the same period of 2020. Revenues from car trading transactions in the third quarter of 2021 were RMB429.2 million (US$66.6 million), continuing to serve as an important revenue contributor. Revenues from automotive financing facilitation and after-market services facilitation in the third quarter of 2021 were RMB266.5 million (US$41.4 million) and RMB42.7 million (US$6.6 million), respectively.</w:t>
      </w:r>
    </w:p>
    <w:p>
      <w:pPr>
        <w:spacing w:after="0" w:line="295" w:lineRule="exact"/>
        <w:rPr>
          <w:sz w:val="20"/>
          <w:szCs w:val="20"/>
          <w:color w:val="auto"/>
        </w:rPr>
      </w:pPr>
    </w:p>
    <w:p>
      <w:pPr>
        <w:spacing w:after="0"/>
        <w:rPr>
          <w:sz w:val="20"/>
          <w:szCs w:val="20"/>
          <w:color w:val="auto"/>
        </w:rPr>
      </w:pPr>
      <w:r>
        <w:rPr>
          <w:rFonts w:ascii="Arial" w:cs="Arial" w:eastAsia="Arial" w:hAnsi="Arial"/>
          <w:sz w:val="18"/>
          <w:szCs w:val="18"/>
          <w:color w:val="auto"/>
        </w:rPr>
        <w:t>OPERATING COST AND EXPENSES</w:t>
      </w:r>
    </w:p>
    <w:p>
      <w:pPr>
        <w:spacing w:after="0" w:line="117" w:lineRule="exact"/>
        <w:rPr>
          <w:sz w:val="20"/>
          <w:szCs w:val="20"/>
          <w:color w:val="auto"/>
        </w:rPr>
      </w:pPr>
    </w:p>
    <w:p>
      <w:pPr>
        <w:ind w:right="60"/>
        <w:spacing w:after="0" w:line="279" w:lineRule="auto"/>
        <w:rPr>
          <w:sz w:val="20"/>
          <w:szCs w:val="20"/>
          <w:color w:val="auto"/>
        </w:rPr>
      </w:pPr>
      <w:r>
        <w:rPr>
          <w:rFonts w:ascii="Arial" w:cs="Arial" w:eastAsia="Arial" w:hAnsi="Arial"/>
          <w:sz w:val="17"/>
          <w:szCs w:val="17"/>
          <w:color w:val="auto"/>
        </w:rPr>
        <w:t>Total operating cost and expenses in the third quarter of 2021 were RMB839.6 million (US$130.3 million) compared to RMB300.4 million in the same period of 2020. This was mainly due to the related costs incurred by car trading transactions business. Primarily as a result of the increase in revenues from car trading transactions, sales and marketing expenses, general and administrative expenses and research and development expenses each decreased as a percentage of total revenues in the third quarter of 2021, compared to the same period of 2020.</w:t>
      </w:r>
    </w:p>
    <w:p>
      <w:pPr>
        <w:spacing w:after="0" w:line="77" w:lineRule="exact"/>
        <w:rPr>
          <w:sz w:val="20"/>
          <w:szCs w:val="20"/>
          <w:color w:val="auto"/>
        </w:rPr>
      </w:pPr>
    </w:p>
    <w:p>
      <w:pPr>
        <w:ind w:left="960" w:hanging="424"/>
        <w:spacing w:after="0" w:line="301" w:lineRule="auto"/>
        <w:tabs>
          <w:tab w:leader="none" w:pos="960" w:val="left"/>
        </w:tabs>
        <w:numPr>
          <w:ilvl w:val="0"/>
          <w:numId w:val="2"/>
        </w:numPr>
        <w:rPr>
          <w:rFonts w:ascii="Arial" w:cs="Arial" w:eastAsia="Arial" w:hAnsi="Arial"/>
          <w:sz w:val="16"/>
          <w:szCs w:val="16"/>
          <w:color w:val="auto"/>
        </w:rPr>
      </w:pPr>
      <w:r>
        <w:rPr>
          <w:rFonts w:ascii="Arial" w:cs="Arial" w:eastAsia="Arial" w:hAnsi="Arial"/>
          <w:sz w:val="16"/>
          <w:szCs w:val="16"/>
          <w:color w:val="auto"/>
        </w:rPr>
        <w:t>Cost of revenue in the third quarter of 2021 increased to RMB610.5 million (US$94.7 million) from RMB180.9 million in the same period of 2020. As a percentage of total revenues, cost of revenue in the third quarter of 2021 was 76.3% compared to 41.6% in the same period of 2020, and the change was primarily due to an increase in the amount of car trading transactions. For automotive financing facilitation and after-market services facilitation, cost of revenue as a percentage of relevant revenues was around 50.1% in the third quarter of 2021.</w:t>
      </w:r>
    </w:p>
    <w:p>
      <w:pPr>
        <w:spacing w:after="0" w:line="90"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2</w:t>
      </w:r>
    </w:p>
    <w:p>
      <w:pPr>
        <w:sectPr>
          <w:pgSz w:w="11900" w:h="16838" w:orient="portrait"/>
          <w:cols w:equalWidth="0" w:num="1">
            <w:col w:w="10960"/>
          </w:cols>
          <w:pgMar w:left="440" w:top="274" w:right="499" w:bottom="1440" w:gutter="0" w:footer="0" w:header="0"/>
        </w:sectPr>
      </w:pPr>
    </w:p>
    <w:bookmarkStart w:id="5" w:name="page6"/>
    <w:bookmarkEnd w:id="5"/>
    <w:p>
      <w:pPr>
        <w:jc w:val="both"/>
        <w:ind w:left="960" w:right="160" w:hanging="424"/>
        <w:spacing w:after="0" w:line="263" w:lineRule="auto"/>
        <w:tabs>
          <w:tab w:leader="none" w:pos="960" w:val="left"/>
        </w:tabs>
        <w:numPr>
          <w:ilvl w:val="0"/>
          <w:numId w:val="3"/>
        </w:numPr>
        <w:rPr>
          <w:rFonts w:ascii="Arial" w:cs="Arial" w:eastAsia="Arial" w:hAnsi="Arial"/>
          <w:sz w:val="18"/>
          <w:szCs w:val="18"/>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74865" cy="38735"/>
                    </a:xfrm>
                    <a:prstGeom prst="rect">
                      <a:avLst/>
                    </a:prstGeom>
                    <a:noFill/>
                  </pic:spPr>
                </pic:pic>
              </a:graphicData>
            </a:graphic>
          </wp:anchor>
        </w:drawing>
        <w:t>Sales and marketing expenses in the third quarter of 2021 were RMB46.8 million (US$7.3 million) compared to RMB41.9 million in the same period of 2020. As a percentage of total revenues, sales and marketing expenses in the third quarter of 2021 was 5.8% compared to 9.6% in the same period of 2020.</w:t>
      </w:r>
    </w:p>
    <w:p>
      <w:pPr>
        <w:spacing w:after="0" w:line="89" w:lineRule="exact"/>
        <w:rPr>
          <w:rFonts w:ascii="Arial" w:cs="Arial" w:eastAsia="Arial" w:hAnsi="Arial"/>
          <w:sz w:val="18"/>
          <w:szCs w:val="18"/>
          <w:color w:val="auto"/>
        </w:rPr>
      </w:pPr>
    </w:p>
    <w:p>
      <w:pPr>
        <w:jc w:val="both"/>
        <w:ind w:left="960" w:right="120" w:hanging="424"/>
        <w:spacing w:after="0" w:line="263" w:lineRule="auto"/>
        <w:tabs>
          <w:tab w:leader="none" w:pos="960" w:val="left"/>
        </w:tabs>
        <w:numPr>
          <w:ilvl w:val="0"/>
          <w:numId w:val="3"/>
        </w:numPr>
        <w:rPr>
          <w:rFonts w:ascii="Arial" w:cs="Arial" w:eastAsia="Arial" w:hAnsi="Arial"/>
          <w:sz w:val="18"/>
          <w:szCs w:val="18"/>
          <w:color w:val="auto"/>
        </w:rPr>
      </w:pPr>
      <w:r>
        <w:rPr>
          <w:rFonts w:ascii="Arial" w:cs="Arial" w:eastAsia="Arial" w:hAnsi="Arial"/>
          <w:sz w:val="18"/>
          <w:szCs w:val="18"/>
          <w:color w:val="auto"/>
        </w:rPr>
        <w:t>General and administrative expenses in the third quarter of 2021 were RMB64.0 million (US$9.9 million) compared to RMB52.2 million in the same period of 2020. As a percentage of total revenues, general and administrative expenses in the third quarter of 2021 was 8.0% compared to 12.0% in the same period of 2020.</w:t>
      </w:r>
    </w:p>
    <w:p>
      <w:pPr>
        <w:spacing w:after="0" w:line="89" w:lineRule="exact"/>
        <w:rPr>
          <w:rFonts w:ascii="Arial" w:cs="Arial" w:eastAsia="Arial" w:hAnsi="Arial"/>
          <w:sz w:val="18"/>
          <w:szCs w:val="18"/>
          <w:color w:val="auto"/>
        </w:rPr>
      </w:pPr>
    </w:p>
    <w:p>
      <w:pPr>
        <w:ind w:left="960" w:right="140" w:hanging="424"/>
        <w:spacing w:after="0" w:line="263" w:lineRule="auto"/>
        <w:tabs>
          <w:tab w:leader="none" w:pos="960" w:val="left"/>
        </w:tabs>
        <w:numPr>
          <w:ilvl w:val="0"/>
          <w:numId w:val="3"/>
        </w:numPr>
        <w:rPr>
          <w:rFonts w:ascii="Arial" w:cs="Arial" w:eastAsia="Arial" w:hAnsi="Arial"/>
          <w:sz w:val="18"/>
          <w:szCs w:val="18"/>
          <w:color w:val="auto"/>
        </w:rPr>
      </w:pPr>
      <w:r>
        <w:rPr>
          <w:rFonts w:ascii="Arial" w:cs="Arial" w:eastAsia="Arial" w:hAnsi="Arial"/>
          <w:sz w:val="18"/>
          <w:szCs w:val="18"/>
          <w:color w:val="auto"/>
        </w:rPr>
        <w:t>Research and development expenses in the third quarter of 2021 were RMB17.4 million (US$2.7 million) compared to RMB14.2 million in the same period of 2020. As a percentage of total revenues, research and development expenses in the third quarter of 2021 was 2.2% compared to 3.3% in the same period of 2020.</w:t>
      </w:r>
    </w:p>
    <w:p>
      <w:pPr>
        <w:spacing w:after="0" w:line="89" w:lineRule="exact"/>
        <w:rPr>
          <w:rFonts w:ascii="Arial" w:cs="Arial" w:eastAsia="Arial" w:hAnsi="Arial"/>
          <w:sz w:val="18"/>
          <w:szCs w:val="18"/>
          <w:color w:val="auto"/>
        </w:rPr>
      </w:pPr>
    </w:p>
    <w:p>
      <w:pPr>
        <w:ind w:left="960" w:right="640" w:hanging="424"/>
        <w:spacing w:after="0" w:line="277" w:lineRule="auto"/>
        <w:tabs>
          <w:tab w:leader="none" w:pos="960" w:val="left"/>
        </w:tabs>
        <w:numPr>
          <w:ilvl w:val="0"/>
          <w:numId w:val="3"/>
        </w:numPr>
        <w:rPr>
          <w:rFonts w:ascii="Arial" w:cs="Arial" w:eastAsia="Arial" w:hAnsi="Arial"/>
          <w:sz w:val="18"/>
          <w:szCs w:val="18"/>
          <w:color w:val="auto"/>
        </w:rPr>
      </w:pPr>
      <w:r>
        <w:rPr>
          <w:rFonts w:ascii="Arial" w:cs="Arial" w:eastAsia="Arial" w:hAnsi="Arial"/>
          <w:sz w:val="18"/>
          <w:szCs w:val="18"/>
          <w:color w:val="auto"/>
        </w:rPr>
        <w:t>Net loss on risk assurance liabilities in the third quarter of 2021 was RMB55.5 million (US$8.6 million) compared to a net gain of RMB12.9 million in the same period of 2020.</w:t>
      </w:r>
    </w:p>
    <w:p>
      <w:pPr>
        <w:spacing w:after="0" w:line="278" w:lineRule="exact"/>
        <w:rPr>
          <w:sz w:val="20"/>
          <w:szCs w:val="20"/>
          <w:color w:val="auto"/>
        </w:rPr>
      </w:pPr>
    </w:p>
    <w:p>
      <w:pPr>
        <w:spacing w:after="0"/>
        <w:rPr>
          <w:sz w:val="20"/>
          <w:szCs w:val="20"/>
          <w:color w:val="auto"/>
        </w:rPr>
      </w:pPr>
      <w:r>
        <w:rPr>
          <w:rFonts w:ascii="Arial" w:cs="Arial" w:eastAsia="Arial" w:hAnsi="Arial"/>
          <w:sz w:val="18"/>
          <w:szCs w:val="18"/>
          <w:color w:val="auto"/>
        </w:rPr>
        <w:t>LOSS FROM OPERATIONS</w:t>
      </w:r>
    </w:p>
    <w:p>
      <w:pPr>
        <w:spacing w:after="0" w:line="117" w:lineRule="exact"/>
        <w:rPr>
          <w:sz w:val="20"/>
          <w:szCs w:val="20"/>
          <w:color w:val="auto"/>
        </w:rPr>
      </w:pPr>
    </w:p>
    <w:p>
      <w:pPr>
        <w:ind w:right="300"/>
        <w:spacing w:after="0" w:line="277" w:lineRule="auto"/>
        <w:rPr>
          <w:sz w:val="20"/>
          <w:szCs w:val="20"/>
          <w:color w:val="auto"/>
        </w:rPr>
      </w:pPr>
      <w:r>
        <w:rPr>
          <w:rFonts w:ascii="Arial" w:cs="Arial" w:eastAsia="Arial" w:hAnsi="Arial"/>
          <w:sz w:val="18"/>
          <w:szCs w:val="18"/>
          <w:color w:val="auto"/>
        </w:rPr>
        <w:t>Loss from operations in the third quarter of 2021 was RMB39.0 million (US$6.1 million), compared to an income of RMB134.5 million in the same period of 2020.</w:t>
      </w:r>
    </w:p>
    <w:p>
      <w:pPr>
        <w:spacing w:after="0" w:line="278" w:lineRule="exact"/>
        <w:rPr>
          <w:sz w:val="20"/>
          <w:szCs w:val="20"/>
          <w:color w:val="auto"/>
        </w:rPr>
      </w:pPr>
    </w:p>
    <w:p>
      <w:pPr>
        <w:spacing w:after="0"/>
        <w:rPr>
          <w:sz w:val="20"/>
          <w:szCs w:val="20"/>
          <w:color w:val="auto"/>
        </w:rPr>
      </w:pPr>
      <w:r>
        <w:rPr>
          <w:rFonts w:ascii="Arial" w:cs="Arial" w:eastAsia="Arial" w:hAnsi="Arial"/>
          <w:sz w:val="18"/>
          <w:szCs w:val="18"/>
          <w:color w:val="auto"/>
        </w:rPr>
        <w:t>FAIR VALUE CHANGE OF EQUITY INVESTMENT</w:t>
      </w:r>
    </w:p>
    <w:p>
      <w:pPr>
        <w:spacing w:after="0" w:line="117" w:lineRule="exact"/>
        <w:rPr>
          <w:sz w:val="20"/>
          <w:szCs w:val="20"/>
          <w:color w:val="auto"/>
        </w:rPr>
      </w:pPr>
    </w:p>
    <w:p>
      <w:pPr>
        <w:ind w:right="160"/>
        <w:spacing w:after="0" w:line="259" w:lineRule="auto"/>
        <w:rPr>
          <w:sz w:val="20"/>
          <w:szCs w:val="20"/>
          <w:color w:val="auto"/>
        </w:rPr>
      </w:pPr>
      <w:r>
        <w:rPr>
          <w:rFonts w:ascii="Arial" w:cs="Arial" w:eastAsia="Arial" w:hAnsi="Arial"/>
          <w:sz w:val="18"/>
          <w:szCs w:val="18"/>
          <w:color w:val="auto"/>
        </w:rPr>
        <w:t>Fair value change of equity investment in the third quarter of 2021 was a loss of RMB447.5 million (US$69.5 million) compared to a gain of RMB1,827.7 million in the same period of 2020. The loss in the third quarter of 2021 is mainly due to the investment in Li Auto. As of September 30, 2021, Cango held 8,000,000 American Depositary Shares of Li Auto. Each American Depositary Share of Li Auto represents two Class A ordinary shares of Li Auto.</w:t>
      </w:r>
    </w:p>
    <w:p>
      <w:pPr>
        <w:spacing w:after="0" w:line="295" w:lineRule="exact"/>
        <w:rPr>
          <w:sz w:val="20"/>
          <w:szCs w:val="20"/>
          <w:color w:val="auto"/>
        </w:rPr>
      </w:pPr>
    </w:p>
    <w:p>
      <w:pPr>
        <w:spacing w:after="0"/>
        <w:rPr>
          <w:sz w:val="20"/>
          <w:szCs w:val="20"/>
          <w:color w:val="auto"/>
        </w:rPr>
      </w:pPr>
      <w:r>
        <w:rPr>
          <w:rFonts w:ascii="Arial" w:cs="Arial" w:eastAsia="Arial" w:hAnsi="Arial"/>
          <w:sz w:val="18"/>
          <w:szCs w:val="18"/>
          <w:color w:val="auto"/>
        </w:rPr>
        <w:t>NET LOSS</w:t>
      </w:r>
    </w:p>
    <w:p>
      <w:pPr>
        <w:spacing w:after="0" w:line="117" w:lineRule="exact"/>
        <w:rPr>
          <w:sz w:val="20"/>
          <w:szCs w:val="20"/>
          <w:color w:val="auto"/>
        </w:rPr>
      </w:pPr>
    </w:p>
    <w:p>
      <w:pPr>
        <w:spacing w:after="0" w:line="263" w:lineRule="auto"/>
        <w:rPr>
          <w:sz w:val="20"/>
          <w:szCs w:val="20"/>
          <w:color w:val="auto"/>
        </w:rPr>
      </w:pPr>
      <w:r>
        <w:rPr>
          <w:rFonts w:ascii="Arial" w:cs="Arial" w:eastAsia="Arial" w:hAnsi="Arial"/>
          <w:sz w:val="18"/>
          <w:szCs w:val="18"/>
          <w:color w:val="auto"/>
        </w:rPr>
        <w:t>Primarily due to the fair value change of the Company’s investment in Li Auto, net loss in the third quarter of 2021 was RMB416.5 million (US$64.6 million). Non-GAAP adjusted net loss in the third quarter of 2021 was RMB392.5 million (US$60.9 million). Non-GAAP adjusted net loss excludes the impact of share-based compensation expenses. For further information, see “Use of Non-GAAP Financial Measure.”</w:t>
      </w:r>
    </w:p>
    <w:p>
      <w:pPr>
        <w:spacing w:after="0" w:line="292" w:lineRule="exact"/>
        <w:rPr>
          <w:sz w:val="20"/>
          <w:szCs w:val="20"/>
          <w:color w:val="auto"/>
        </w:rPr>
      </w:pPr>
    </w:p>
    <w:p>
      <w:pPr>
        <w:spacing w:after="0"/>
        <w:rPr>
          <w:sz w:val="20"/>
          <w:szCs w:val="20"/>
          <w:color w:val="auto"/>
        </w:rPr>
      </w:pPr>
      <w:r>
        <w:rPr>
          <w:rFonts w:ascii="Arial" w:cs="Arial" w:eastAsia="Arial" w:hAnsi="Arial"/>
          <w:sz w:val="18"/>
          <w:szCs w:val="18"/>
          <w:color w:val="auto"/>
        </w:rPr>
        <w:t>NET LOSS PER ADS</w:t>
      </w:r>
    </w:p>
    <w:p>
      <w:pPr>
        <w:spacing w:after="0" w:line="117" w:lineRule="exact"/>
        <w:rPr>
          <w:sz w:val="20"/>
          <w:szCs w:val="20"/>
          <w:color w:val="auto"/>
        </w:rPr>
      </w:pPr>
    </w:p>
    <w:p>
      <w:pPr>
        <w:ind w:right="280"/>
        <w:spacing w:after="0" w:line="263" w:lineRule="auto"/>
        <w:rPr>
          <w:sz w:val="20"/>
          <w:szCs w:val="20"/>
          <w:color w:val="auto"/>
        </w:rPr>
      </w:pPr>
      <w:r>
        <w:rPr>
          <w:rFonts w:ascii="Arial" w:cs="Arial" w:eastAsia="Arial" w:hAnsi="Arial"/>
          <w:sz w:val="18"/>
          <w:szCs w:val="18"/>
          <w:color w:val="auto"/>
        </w:rPr>
        <w:t>Basic and diluted net loss per American Depositary Share (ADS) in the third quarter of 2021 were RMB2.88 (US$0.45) and RMB2.88 (US$0.45). Non-GAAP adjusted basic and diluted net loss per ADS in the third quarter of 2021 were RMB2.72 (US$0.42) and RMB2.72 (US$0.42). Each ADS represents two Class A ordinary shares of the Company.</w:t>
      </w:r>
    </w:p>
    <w:p>
      <w:pPr>
        <w:spacing w:after="0" w:line="116"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3</w:t>
      </w:r>
    </w:p>
    <w:p>
      <w:pPr>
        <w:sectPr>
          <w:pgSz w:w="11900" w:h="16838" w:orient="portrait"/>
          <w:cols w:equalWidth="0" w:num="1">
            <w:col w:w="10980"/>
          </w:cols>
          <w:pgMar w:left="440" w:top="274" w:right="479" w:bottom="1440" w:gutter="0" w:footer="0" w:header="0"/>
        </w:sectPr>
      </w:pPr>
    </w:p>
    <w:bookmarkStart w:id="6" w:name="page7"/>
    <w:bookmarkEnd w:id="6"/>
    <w:p>
      <w:pPr>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74865" cy="38100"/>
                    </a:xfrm>
                    <a:prstGeom prst="rect">
                      <a:avLst/>
                    </a:prstGeom>
                    <a:noFill/>
                  </pic:spPr>
                </pic:pic>
              </a:graphicData>
            </a:graphic>
          </wp:anchor>
        </w:drawing>
        <w:t>BALANCE SHEET</w:t>
      </w:r>
    </w:p>
    <w:p>
      <w:pPr>
        <w:spacing w:after="0" w:line="117" w:lineRule="exact"/>
        <w:rPr>
          <w:sz w:val="20"/>
          <w:szCs w:val="20"/>
          <w:color w:val="auto"/>
        </w:rPr>
      </w:pPr>
    </w:p>
    <w:p>
      <w:pPr>
        <w:ind w:right="60"/>
        <w:spacing w:after="0" w:line="277" w:lineRule="auto"/>
        <w:rPr>
          <w:sz w:val="20"/>
          <w:szCs w:val="20"/>
          <w:color w:val="auto"/>
        </w:rPr>
      </w:pPr>
      <w:r>
        <w:rPr>
          <w:rFonts w:ascii="Arial" w:cs="Arial" w:eastAsia="Arial" w:hAnsi="Arial"/>
          <w:sz w:val="18"/>
          <w:szCs w:val="18"/>
          <w:color w:val="auto"/>
        </w:rPr>
        <w:t>As of September 30, 2021, the Company had cash and cash equivalents of RMB906.4 million (US$140.7 million), compared to RMB1,498.9 million as of June 30, 2021.</w:t>
      </w:r>
    </w:p>
    <w:p>
      <w:pPr>
        <w:spacing w:after="0" w:line="170" w:lineRule="exact"/>
        <w:rPr>
          <w:sz w:val="20"/>
          <w:szCs w:val="20"/>
          <w:color w:val="auto"/>
        </w:rPr>
      </w:pPr>
    </w:p>
    <w:p>
      <w:pPr>
        <w:ind w:right="140"/>
        <w:spacing w:after="0" w:line="277" w:lineRule="auto"/>
        <w:rPr>
          <w:sz w:val="20"/>
          <w:szCs w:val="20"/>
          <w:color w:val="auto"/>
        </w:rPr>
      </w:pPr>
      <w:r>
        <w:rPr>
          <w:rFonts w:ascii="Arial" w:cs="Arial" w:eastAsia="Arial" w:hAnsi="Arial"/>
          <w:sz w:val="18"/>
          <w:szCs w:val="18"/>
          <w:color w:val="auto"/>
        </w:rPr>
        <w:t>As of September 30, 2021, the Company had short-term investments of RMB3,588.2 million (US$556.9 million), compared to RMB3,127.2 million as of June 30, 2021.</w:t>
      </w:r>
    </w:p>
    <w:p>
      <w:pPr>
        <w:spacing w:after="0" w:line="2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Business Outlook</w:t>
      </w:r>
    </w:p>
    <w:p>
      <w:pPr>
        <w:spacing w:after="0" w:line="121" w:lineRule="exact"/>
        <w:rPr>
          <w:sz w:val="20"/>
          <w:szCs w:val="20"/>
          <w:color w:val="auto"/>
        </w:rPr>
      </w:pPr>
    </w:p>
    <w:p>
      <w:pPr>
        <w:ind w:right="260"/>
        <w:spacing w:after="0" w:line="277" w:lineRule="auto"/>
        <w:rPr>
          <w:sz w:val="20"/>
          <w:szCs w:val="20"/>
          <w:color w:val="auto"/>
        </w:rPr>
      </w:pPr>
      <w:r>
        <w:rPr>
          <w:rFonts w:ascii="Arial" w:cs="Arial" w:eastAsia="Arial" w:hAnsi="Arial"/>
          <w:sz w:val="18"/>
          <w:szCs w:val="18"/>
          <w:color w:val="auto"/>
        </w:rPr>
        <w:t>For the fourth quarter of 2021, the Company expects total revenues to be between RMB950 million and RMB1,000 million. This forecast reflects the Company’s current and preliminary views on the market and operational conditions, which are subject to change.</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Company’s investment in Li Auto and the change in fair value of investment due to the price volatility of the stock may have a significant impact on the Company’s fourth quarter of 2021 financial results.</w:t>
      </w:r>
    </w:p>
    <w:p>
      <w:pPr>
        <w:spacing w:after="0" w:line="2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121" w:lineRule="exact"/>
        <w:rPr>
          <w:sz w:val="20"/>
          <w:szCs w:val="20"/>
          <w:color w:val="auto"/>
        </w:rPr>
      </w:pPr>
    </w:p>
    <w:p>
      <w:pPr>
        <w:ind w:right="20"/>
        <w:spacing w:after="0" w:line="308" w:lineRule="auto"/>
        <w:rPr>
          <w:sz w:val="20"/>
          <w:szCs w:val="20"/>
          <w:color w:val="auto"/>
        </w:rPr>
      </w:pPr>
      <w:r>
        <w:rPr>
          <w:rFonts w:ascii="Arial" w:cs="Arial" w:eastAsia="Arial" w:hAnsi="Arial"/>
          <w:sz w:val="17"/>
          <w:szCs w:val="17"/>
          <w:color w:val="auto"/>
        </w:rPr>
        <w:t>The Company’s management will hold a conference call on Monday, November 22, 2021, at 8:00 P.M. Eastern Time or Tuesday, November 23, 2021, at 9:00 A.M. Beijing Time to discuss the financial results. Listeners may access the call by dialing the following numbers:</w:t>
      </w:r>
    </w:p>
    <w:p>
      <w:pPr>
        <w:spacing w:after="0" w:line="17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300" w:type="dxa"/>
            <w:vAlign w:val="bottom"/>
          </w:tcPr>
          <w:p>
            <w:pPr>
              <w:spacing w:after="0"/>
              <w:rPr>
                <w:sz w:val="20"/>
                <w:szCs w:val="20"/>
                <w:color w:val="auto"/>
              </w:rPr>
            </w:pPr>
            <w:r>
              <w:rPr>
                <w:rFonts w:ascii="Arial" w:cs="Arial" w:eastAsia="Arial" w:hAnsi="Arial"/>
                <w:sz w:val="18"/>
                <w:szCs w:val="18"/>
                <w:color w:val="auto"/>
              </w:rPr>
              <w:t>International:</w:t>
            </w:r>
          </w:p>
        </w:tc>
        <w:tc>
          <w:tcPr>
            <w:tcW w:w="2440" w:type="dxa"/>
            <w:vAlign w:val="bottom"/>
          </w:tcPr>
          <w:p>
            <w:pPr>
              <w:ind w:left="1180"/>
              <w:spacing w:after="0"/>
              <w:rPr>
                <w:sz w:val="20"/>
                <w:szCs w:val="20"/>
                <w:color w:val="auto"/>
              </w:rPr>
            </w:pPr>
            <w:r>
              <w:rPr>
                <w:rFonts w:ascii="Arial" w:cs="Arial" w:eastAsia="Arial" w:hAnsi="Arial"/>
                <w:sz w:val="18"/>
                <w:szCs w:val="18"/>
                <w:color w:val="auto"/>
                <w:w w:val="89"/>
              </w:rPr>
              <w:t>+1-412-902-4272</w:t>
            </w:r>
          </w:p>
        </w:tc>
      </w:tr>
      <w:tr>
        <w:trPr>
          <w:trHeight w:val="216"/>
        </w:trPr>
        <w:tc>
          <w:tcPr>
            <w:tcW w:w="3300" w:type="dxa"/>
            <w:vAlign w:val="bottom"/>
          </w:tcPr>
          <w:p>
            <w:pPr>
              <w:spacing w:after="0"/>
              <w:rPr>
                <w:sz w:val="20"/>
                <w:szCs w:val="20"/>
                <w:color w:val="auto"/>
              </w:rPr>
            </w:pPr>
            <w:r>
              <w:rPr>
                <w:rFonts w:ascii="Arial" w:cs="Arial" w:eastAsia="Arial" w:hAnsi="Arial"/>
                <w:sz w:val="18"/>
                <w:szCs w:val="18"/>
                <w:color w:val="auto"/>
              </w:rPr>
              <w:t>United States Toll Free:</w:t>
            </w:r>
          </w:p>
        </w:tc>
        <w:tc>
          <w:tcPr>
            <w:tcW w:w="2440" w:type="dxa"/>
            <w:vAlign w:val="bottom"/>
          </w:tcPr>
          <w:p>
            <w:pPr>
              <w:ind w:left="1180"/>
              <w:spacing w:after="0"/>
              <w:rPr>
                <w:sz w:val="20"/>
                <w:szCs w:val="20"/>
                <w:color w:val="auto"/>
              </w:rPr>
            </w:pPr>
            <w:r>
              <w:rPr>
                <w:rFonts w:ascii="Arial" w:cs="Arial" w:eastAsia="Arial" w:hAnsi="Arial"/>
                <w:sz w:val="18"/>
                <w:szCs w:val="18"/>
                <w:color w:val="auto"/>
                <w:w w:val="89"/>
              </w:rPr>
              <w:t>+1-888-346-8982</w:t>
            </w:r>
          </w:p>
        </w:tc>
      </w:tr>
      <w:tr>
        <w:trPr>
          <w:trHeight w:val="216"/>
        </w:trPr>
        <w:tc>
          <w:tcPr>
            <w:tcW w:w="3300" w:type="dxa"/>
            <w:vAlign w:val="bottom"/>
          </w:tcPr>
          <w:p>
            <w:pPr>
              <w:spacing w:after="0"/>
              <w:rPr>
                <w:sz w:val="20"/>
                <w:szCs w:val="20"/>
                <w:color w:val="auto"/>
              </w:rPr>
            </w:pPr>
            <w:r>
              <w:rPr>
                <w:rFonts w:ascii="Arial" w:cs="Arial" w:eastAsia="Arial" w:hAnsi="Arial"/>
                <w:sz w:val="18"/>
                <w:szCs w:val="18"/>
                <w:color w:val="auto"/>
              </w:rPr>
              <w:t>Mainland China Toll Free:</w:t>
            </w:r>
          </w:p>
        </w:tc>
        <w:tc>
          <w:tcPr>
            <w:tcW w:w="2440" w:type="dxa"/>
            <w:vAlign w:val="bottom"/>
          </w:tcPr>
          <w:p>
            <w:pPr>
              <w:ind w:left="1180"/>
              <w:spacing w:after="0"/>
              <w:rPr>
                <w:sz w:val="20"/>
                <w:szCs w:val="20"/>
                <w:color w:val="auto"/>
              </w:rPr>
            </w:pPr>
            <w:r>
              <w:rPr>
                <w:rFonts w:ascii="Arial" w:cs="Arial" w:eastAsia="Arial" w:hAnsi="Arial"/>
                <w:sz w:val="18"/>
                <w:szCs w:val="18"/>
                <w:color w:val="auto"/>
              </w:rPr>
              <w:t>4001-201-203</w:t>
            </w:r>
          </w:p>
        </w:tc>
      </w:tr>
      <w:tr>
        <w:trPr>
          <w:trHeight w:val="216"/>
        </w:trPr>
        <w:tc>
          <w:tcPr>
            <w:tcW w:w="3300" w:type="dxa"/>
            <w:vAlign w:val="bottom"/>
          </w:tcPr>
          <w:p>
            <w:pPr>
              <w:spacing w:after="0"/>
              <w:rPr>
                <w:sz w:val="20"/>
                <w:szCs w:val="20"/>
                <w:color w:val="auto"/>
              </w:rPr>
            </w:pPr>
            <w:r>
              <w:rPr>
                <w:rFonts w:ascii="Arial" w:cs="Arial" w:eastAsia="Arial" w:hAnsi="Arial"/>
                <w:sz w:val="18"/>
                <w:szCs w:val="18"/>
                <w:color w:val="auto"/>
              </w:rPr>
              <w:t>Hong Kong, China Toll Free:</w:t>
            </w:r>
          </w:p>
        </w:tc>
        <w:tc>
          <w:tcPr>
            <w:tcW w:w="2440" w:type="dxa"/>
            <w:vAlign w:val="bottom"/>
          </w:tcPr>
          <w:p>
            <w:pPr>
              <w:ind w:left="1180"/>
              <w:spacing w:after="0"/>
              <w:rPr>
                <w:sz w:val="20"/>
                <w:szCs w:val="20"/>
                <w:color w:val="auto"/>
              </w:rPr>
            </w:pPr>
            <w:r>
              <w:rPr>
                <w:rFonts w:ascii="Arial" w:cs="Arial" w:eastAsia="Arial" w:hAnsi="Arial"/>
                <w:sz w:val="18"/>
                <w:szCs w:val="18"/>
                <w:color w:val="auto"/>
              </w:rPr>
              <w:t>800-905-945</w:t>
            </w:r>
          </w:p>
        </w:tc>
      </w:tr>
      <w:tr>
        <w:trPr>
          <w:trHeight w:val="230"/>
        </w:trPr>
        <w:tc>
          <w:tcPr>
            <w:tcW w:w="3300" w:type="dxa"/>
            <w:vAlign w:val="bottom"/>
          </w:tcPr>
          <w:p>
            <w:pPr>
              <w:spacing w:after="0"/>
              <w:rPr>
                <w:sz w:val="20"/>
                <w:szCs w:val="20"/>
                <w:color w:val="auto"/>
              </w:rPr>
            </w:pPr>
            <w:r>
              <w:rPr>
                <w:rFonts w:ascii="Arial" w:cs="Arial" w:eastAsia="Arial" w:hAnsi="Arial"/>
                <w:sz w:val="18"/>
                <w:szCs w:val="18"/>
                <w:color w:val="auto"/>
              </w:rPr>
              <w:t>Conference ID:</w:t>
            </w:r>
          </w:p>
        </w:tc>
        <w:tc>
          <w:tcPr>
            <w:tcW w:w="2440" w:type="dxa"/>
            <w:vAlign w:val="bottom"/>
          </w:tcPr>
          <w:p>
            <w:pPr>
              <w:ind w:left="1180"/>
              <w:spacing w:after="0"/>
              <w:rPr>
                <w:sz w:val="20"/>
                <w:szCs w:val="20"/>
                <w:color w:val="auto"/>
              </w:rPr>
            </w:pPr>
            <w:r>
              <w:rPr>
                <w:rFonts w:ascii="Arial" w:cs="Arial" w:eastAsia="Arial" w:hAnsi="Arial"/>
                <w:sz w:val="18"/>
                <w:szCs w:val="18"/>
                <w:color w:val="auto"/>
              </w:rPr>
              <w:t>Cango Inc.</w:t>
            </w: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replay will be accessible through November 29, 2021, by dialing the following numbers:</w:t>
      </w:r>
    </w:p>
    <w:p>
      <w:pPr>
        <w:spacing w:after="0" w:line="25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100" w:type="dxa"/>
            <w:vAlign w:val="bottom"/>
          </w:tcPr>
          <w:p>
            <w:pPr>
              <w:spacing w:after="0"/>
              <w:rPr>
                <w:sz w:val="20"/>
                <w:szCs w:val="20"/>
                <w:color w:val="auto"/>
              </w:rPr>
            </w:pPr>
            <w:r>
              <w:rPr>
                <w:rFonts w:ascii="Arial" w:cs="Arial" w:eastAsia="Arial" w:hAnsi="Arial"/>
                <w:sz w:val="18"/>
                <w:szCs w:val="18"/>
                <w:color w:val="auto"/>
              </w:rPr>
              <w:t>International:</w:t>
            </w:r>
          </w:p>
        </w:tc>
        <w:tc>
          <w:tcPr>
            <w:tcW w:w="2640" w:type="dxa"/>
            <w:vAlign w:val="bottom"/>
          </w:tcPr>
          <w:p>
            <w:pPr>
              <w:ind w:left="1380"/>
              <w:spacing w:after="0"/>
              <w:rPr>
                <w:sz w:val="20"/>
                <w:szCs w:val="20"/>
                <w:color w:val="auto"/>
              </w:rPr>
            </w:pPr>
            <w:r>
              <w:rPr>
                <w:rFonts w:ascii="Arial" w:cs="Arial" w:eastAsia="Arial" w:hAnsi="Arial"/>
                <w:sz w:val="18"/>
                <w:szCs w:val="18"/>
                <w:color w:val="auto"/>
                <w:w w:val="89"/>
              </w:rPr>
              <w:t>+1-412-317-0088</w:t>
            </w:r>
          </w:p>
        </w:tc>
      </w:tr>
      <w:tr>
        <w:trPr>
          <w:trHeight w:val="216"/>
        </w:trPr>
        <w:tc>
          <w:tcPr>
            <w:tcW w:w="3100" w:type="dxa"/>
            <w:vAlign w:val="bottom"/>
          </w:tcPr>
          <w:p>
            <w:pPr>
              <w:spacing w:after="0"/>
              <w:rPr>
                <w:sz w:val="20"/>
                <w:szCs w:val="20"/>
                <w:color w:val="auto"/>
              </w:rPr>
            </w:pPr>
            <w:r>
              <w:rPr>
                <w:rFonts w:ascii="Arial" w:cs="Arial" w:eastAsia="Arial" w:hAnsi="Arial"/>
                <w:sz w:val="18"/>
                <w:szCs w:val="18"/>
                <w:color w:val="auto"/>
              </w:rPr>
              <w:t>United States Toll Free:</w:t>
            </w:r>
          </w:p>
        </w:tc>
        <w:tc>
          <w:tcPr>
            <w:tcW w:w="2640" w:type="dxa"/>
            <w:vAlign w:val="bottom"/>
          </w:tcPr>
          <w:p>
            <w:pPr>
              <w:ind w:left="1380"/>
              <w:spacing w:after="0"/>
              <w:rPr>
                <w:sz w:val="20"/>
                <w:szCs w:val="20"/>
                <w:color w:val="auto"/>
              </w:rPr>
            </w:pPr>
            <w:r>
              <w:rPr>
                <w:rFonts w:ascii="Arial" w:cs="Arial" w:eastAsia="Arial" w:hAnsi="Arial"/>
                <w:sz w:val="18"/>
                <w:szCs w:val="18"/>
                <w:color w:val="auto"/>
                <w:w w:val="89"/>
              </w:rPr>
              <w:t>+1-877-344-7529</w:t>
            </w:r>
          </w:p>
        </w:tc>
      </w:tr>
      <w:tr>
        <w:trPr>
          <w:trHeight w:val="230"/>
        </w:trPr>
        <w:tc>
          <w:tcPr>
            <w:tcW w:w="3100" w:type="dxa"/>
            <w:vAlign w:val="bottom"/>
          </w:tcPr>
          <w:p>
            <w:pPr>
              <w:spacing w:after="0"/>
              <w:rPr>
                <w:sz w:val="20"/>
                <w:szCs w:val="20"/>
                <w:color w:val="auto"/>
              </w:rPr>
            </w:pPr>
            <w:r>
              <w:rPr>
                <w:rFonts w:ascii="Arial" w:cs="Arial" w:eastAsia="Arial" w:hAnsi="Arial"/>
                <w:sz w:val="18"/>
                <w:szCs w:val="18"/>
                <w:color w:val="auto"/>
              </w:rPr>
              <w:t>Access Code:</w:t>
            </w:r>
          </w:p>
        </w:tc>
        <w:tc>
          <w:tcPr>
            <w:tcW w:w="2640" w:type="dxa"/>
            <w:vAlign w:val="bottom"/>
          </w:tcPr>
          <w:p>
            <w:pPr>
              <w:ind w:left="1380"/>
              <w:spacing w:after="0"/>
              <w:rPr>
                <w:sz w:val="20"/>
                <w:szCs w:val="20"/>
                <w:color w:val="auto"/>
              </w:rPr>
            </w:pPr>
            <w:r>
              <w:rPr>
                <w:rFonts w:ascii="Arial" w:cs="Arial" w:eastAsia="Arial" w:hAnsi="Arial"/>
                <w:sz w:val="18"/>
                <w:szCs w:val="18"/>
                <w:color w:val="auto"/>
              </w:rPr>
              <w:t>10162135</w:t>
            </w:r>
          </w:p>
        </w:tc>
      </w:tr>
    </w:tbl>
    <w:p>
      <w:pPr>
        <w:spacing w:after="0" w:line="202" w:lineRule="exact"/>
        <w:rPr>
          <w:sz w:val="20"/>
          <w:szCs w:val="20"/>
          <w:color w:val="auto"/>
        </w:rPr>
      </w:pPr>
    </w:p>
    <w:p>
      <w:pPr>
        <w:jc w:val="center"/>
        <w:ind w:right="480"/>
        <w:spacing w:after="0" w:line="449" w:lineRule="auto"/>
        <w:rPr>
          <w:sz w:val="20"/>
          <w:szCs w:val="20"/>
          <w:color w:val="auto"/>
        </w:rPr>
      </w:pPr>
      <w:r>
        <w:rPr>
          <w:rFonts w:ascii="Arial" w:cs="Arial" w:eastAsia="Arial" w:hAnsi="Arial"/>
          <w:sz w:val="18"/>
          <w:szCs w:val="18"/>
          <w:color w:val="auto"/>
        </w:rPr>
        <w:t xml:space="preserve">A live and archived webcast of the conference call will also be available at the Company’s investor relations website at </w:t>
      </w:r>
      <w:r>
        <w:rPr>
          <w:rFonts w:ascii="Arial" w:cs="Arial" w:eastAsia="Arial" w:hAnsi="Arial"/>
          <w:sz w:val="18"/>
          <w:szCs w:val="18"/>
          <w:u w:val="single" w:color="auto"/>
          <w:color w:val="auto"/>
        </w:rPr>
        <w:t>http://ir.cangoonline.com/</w:t>
      </w:r>
      <w:r>
        <w:rPr>
          <w:rFonts w:ascii="Arial" w:cs="Arial" w:eastAsia="Arial" w:hAnsi="Arial"/>
          <w:sz w:val="18"/>
          <w:szCs w:val="18"/>
          <w:color w:val="auto"/>
        </w:rPr>
        <w:t>. 4</w:t>
      </w:r>
    </w:p>
    <w:p>
      <w:pPr>
        <w:sectPr>
          <w:pgSz w:w="11900" w:h="16838" w:orient="portrait"/>
          <w:cols w:equalWidth="0" w:num="1">
            <w:col w:w="11000"/>
          </w:cols>
          <w:pgMar w:left="440" w:top="274" w:right="459" w:bottom="1440" w:gutter="0" w:footer="0" w:header="0"/>
        </w:sectPr>
      </w:pPr>
    </w:p>
    <w:bookmarkStart w:id="7" w:name="page8"/>
    <w:bookmarkEnd w:id="7"/>
    <w:p>
      <w:pPr>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74865" cy="38100"/>
                    </a:xfrm>
                    <a:prstGeom prst="rect">
                      <a:avLst/>
                    </a:prstGeom>
                    <a:noFill/>
                  </pic:spPr>
                </pic:pic>
              </a:graphicData>
            </a:graphic>
          </wp:anchor>
        </w:drawing>
        <w:t>About Cango Inc.</w:t>
      </w:r>
    </w:p>
    <w:p>
      <w:pPr>
        <w:spacing w:after="0" w:line="121" w:lineRule="exact"/>
        <w:rPr>
          <w:sz w:val="20"/>
          <w:szCs w:val="20"/>
          <w:color w:val="auto"/>
        </w:rPr>
      </w:pPr>
    </w:p>
    <w:p>
      <w:pPr>
        <w:spacing w:after="0" w:line="254" w:lineRule="auto"/>
        <w:rPr>
          <w:sz w:val="20"/>
          <w:szCs w:val="20"/>
          <w:color w:val="auto"/>
        </w:rPr>
      </w:pPr>
      <w:r>
        <w:rPr>
          <w:rFonts w:ascii="Arial" w:cs="Arial" w:eastAsia="Arial" w:hAnsi="Arial"/>
          <w:sz w:val="18"/>
          <w:szCs w:val="18"/>
          <w:color w:val="auto"/>
        </w:rPr>
        <w:t xml:space="preserve">Cango Inc. (NYSE: CANG) is a leading automotive transaction service platform in China connecting dealers, financial institutions, car buyers, and other industry participants. Founded in 2010 by a group of pioneers in China’s automotive finance industry, the Company is headquartered in Shanghai and engages car buyers through a nationwide dealer network. The Company’s services primarily consist of automotive financing facilitation, car trading transactions, and after-market services facilitation. By utilizing its competitive advantages in technology, data insights, and cloud-based infrastructure, Cango is able to connect its platform participants while bringing them a premium user experience. Cango’s platform model puts it in a unique position to add value for its platform participants and business partners as the automotive and mobility markets in China continue to grow and evolve. For more information, please visit: </w:t>
      </w:r>
      <w:r>
        <w:rPr>
          <w:rFonts w:ascii="Arial" w:cs="Arial" w:eastAsia="Arial" w:hAnsi="Arial"/>
          <w:sz w:val="18"/>
          <w:szCs w:val="18"/>
          <w:u w:val="single" w:color="auto"/>
          <w:color w:val="auto"/>
        </w:rPr>
        <w:t>www.cangoonline.com</w:t>
      </w:r>
      <w:r>
        <w:rPr>
          <w:rFonts w:ascii="Arial" w:cs="Arial" w:eastAsia="Arial" w:hAnsi="Arial"/>
          <w:sz w:val="18"/>
          <w:szCs w:val="18"/>
          <w:color w:val="auto"/>
        </w:rPr>
        <w:t>.</w:t>
      </w:r>
    </w:p>
    <w:p>
      <w:pPr>
        <w:spacing w:after="0" w:line="29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Definition of Overdue Ratios</w:t>
      </w:r>
    </w:p>
    <w:p>
      <w:pPr>
        <w:spacing w:after="0" w:line="121" w:lineRule="exact"/>
        <w:rPr>
          <w:sz w:val="20"/>
          <w:szCs w:val="20"/>
          <w:color w:val="auto"/>
        </w:rPr>
      </w:pPr>
    </w:p>
    <w:p>
      <w:pPr>
        <w:ind w:right="220"/>
        <w:spacing w:after="0" w:line="263" w:lineRule="auto"/>
        <w:rPr>
          <w:sz w:val="20"/>
          <w:szCs w:val="20"/>
          <w:color w:val="auto"/>
        </w:rPr>
      </w:pPr>
      <w:r>
        <w:rPr>
          <w:rFonts w:ascii="Arial" w:cs="Arial" w:eastAsia="Arial" w:hAnsi="Arial"/>
          <w:sz w:val="18"/>
          <w:szCs w:val="18"/>
          <w:color w:val="auto"/>
        </w:rPr>
        <w:t>The Company defines “M1+ overdue ratio” as (i) exposure at risk relating to financing transactions for which any installment payment is 30 to 179 calendar days past due as of a specified date, divided by (ii) exposure at risk relating to all financing transactions which remain outstanding as of such date, excluding amounts of outstanding principal that are 180 calendar days or more past due.</w:t>
      </w:r>
    </w:p>
    <w:p>
      <w:pPr>
        <w:spacing w:after="0" w:line="184" w:lineRule="exact"/>
        <w:rPr>
          <w:sz w:val="20"/>
          <w:szCs w:val="20"/>
          <w:color w:val="auto"/>
        </w:rPr>
      </w:pPr>
    </w:p>
    <w:p>
      <w:pPr>
        <w:ind w:right="220"/>
        <w:spacing w:after="0" w:line="263" w:lineRule="auto"/>
        <w:rPr>
          <w:sz w:val="20"/>
          <w:szCs w:val="20"/>
          <w:color w:val="auto"/>
        </w:rPr>
      </w:pPr>
      <w:r>
        <w:rPr>
          <w:rFonts w:ascii="Arial" w:cs="Arial" w:eastAsia="Arial" w:hAnsi="Arial"/>
          <w:sz w:val="18"/>
          <w:szCs w:val="18"/>
          <w:color w:val="auto"/>
        </w:rPr>
        <w:t>The Company defines “M3+ overdue ratio” as (i) exposure at risk relating to financing transactions for which any installment payment is 90 to 179 calendar days past due as of a specified date, divided by (ii) exposure at risk relating to all financing transactions which remain outstanding as of such date, excluding amounts of outstanding principal that are 180 calendar days or more past due.</w:t>
      </w:r>
    </w:p>
    <w:p>
      <w:pPr>
        <w:spacing w:after="0" w:line="2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Use of Non-GAAP Financial Measure</w:t>
      </w:r>
    </w:p>
    <w:p>
      <w:pPr>
        <w:spacing w:after="0" w:line="121" w:lineRule="exact"/>
        <w:rPr>
          <w:sz w:val="20"/>
          <w:szCs w:val="20"/>
          <w:color w:val="auto"/>
        </w:rPr>
      </w:pPr>
    </w:p>
    <w:p>
      <w:pPr>
        <w:spacing w:after="0" w:line="272" w:lineRule="auto"/>
        <w:rPr>
          <w:sz w:val="20"/>
          <w:szCs w:val="20"/>
          <w:color w:val="auto"/>
        </w:rPr>
      </w:pPr>
      <w:r>
        <w:rPr>
          <w:rFonts w:ascii="Arial" w:cs="Arial" w:eastAsia="Arial" w:hAnsi="Arial"/>
          <w:sz w:val="17"/>
          <w:szCs w:val="17"/>
          <w:color w:val="auto"/>
        </w:rPr>
        <w:t>In evaluating the business, the Company considers and uses Non-GAAP adjusted net income, a non-GAAP measure, as a supplemental measure to review and assess its operating performance. The presentation of the non-GAAP financial measure is not intended to be considered in isolation or as a substitute for the financial information prepared and presented in accordance with U.S. GAAP. The Company defines Non-GAAP adjusted net income as net income excluding share-based compensation expenses. The Company presents the non-GAAP financial measure because it is used by the management to evaluate the operating performance and formulate business plans. Non-GAAP adjusted net income enables the management to assess the Company’s operating results without considering the impact of share-based compensation expenses, which are non-cash charges. The Company also believes that the use of the non-GAAP measure facilitates investors’ assessment of its operating performance.</w:t>
      </w:r>
    </w:p>
    <w:p>
      <w:pPr>
        <w:spacing w:after="0" w:line="177" w:lineRule="exact"/>
        <w:rPr>
          <w:sz w:val="20"/>
          <w:szCs w:val="20"/>
          <w:color w:val="auto"/>
        </w:rPr>
      </w:pPr>
    </w:p>
    <w:p>
      <w:pPr>
        <w:ind w:right="120"/>
        <w:spacing w:after="0" w:line="290" w:lineRule="auto"/>
        <w:rPr>
          <w:sz w:val="20"/>
          <w:szCs w:val="20"/>
          <w:color w:val="auto"/>
        </w:rPr>
      </w:pPr>
      <w:r>
        <w:rPr>
          <w:rFonts w:ascii="Arial" w:cs="Arial" w:eastAsia="Arial" w:hAnsi="Arial"/>
          <w:sz w:val="16"/>
          <w:szCs w:val="16"/>
          <w:color w:val="auto"/>
        </w:rPr>
        <w:t>Non-GAAP adjusted net income is not defined under U.S. GAAP and is not presented in accordance with U.S. GAAP. This non-GAAP financial measure has limitations as analytical tools. One of the key limitations of using Non-GAAP adjusted net income is that it does not reflect all items of expense that affect the Company’s operations. Share-based compensation expenses have been and may continue to be incurred in the business and are not reflected in the presentation of Non-GAAP adjusted net income. Further, the non-GAAP measure may differ from the non-GAAP information used by other companies, including peer companies, and therefore their comparability may be limited. The Company compensates for these limitations by reconciling the non-GAAP financial measure to the nearest U.S. GAAP performance measure, all of which should be considered when evaluating the Company’s performance. The Company encourages you to review its financial information in its entirety and not rely on a single financial measure. Reconciliations of Cango’s non-GAAP financial measure to the most comparable U.S. GAAP measure are included at the end of this press release.</w:t>
      </w:r>
    </w:p>
    <w:p>
      <w:pPr>
        <w:spacing w:after="0" w:line="9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w:t>
      </w:r>
    </w:p>
    <w:p>
      <w:pPr>
        <w:sectPr>
          <w:pgSz w:w="11900" w:h="16838" w:orient="portrait"/>
          <w:cols w:equalWidth="0" w:num="1">
            <w:col w:w="11000"/>
          </w:cols>
          <w:pgMar w:left="440" w:top="270" w:right="459" w:bottom="1440" w:gutter="0" w:footer="0" w:header="0"/>
        </w:sectPr>
      </w:pPr>
    </w:p>
    <w:bookmarkStart w:id="8" w:name="page9"/>
    <w:bookmarkEnd w:id="8"/>
    <w:p>
      <w:pPr>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74865" cy="38100"/>
                    </a:xfrm>
                    <a:prstGeom prst="rect">
                      <a:avLst/>
                    </a:prstGeom>
                    <a:noFill/>
                  </pic:spPr>
                </pic:pic>
              </a:graphicData>
            </a:graphic>
          </wp:anchor>
        </w:drawing>
        <w:t>Exchange Rate Information</w:t>
      </w:r>
    </w:p>
    <w:p>
      <w:pPr>
        <w:spacing w:after="0" w:line="121" w:lineRule="exact"/>
        <w:rPr>
          <w:sz w:val="20"/>
          <w:szCs w:val="20"/>
          <w:color w:val="auto"/>
        </w:rPr>
      </w:pPr>
    </w:p>
    <w:p>
      <w:pPr>
        <w:ind w:right="60"/>
        <w:spacing w:after="0" w:line="279" w:lineRule="auto"/>
        <w:rPr>
          <w:sz w:val="20"/>
          <w:szCs w:val="20"/>
          <w:color w:val="auto"/>
        </w:rPr>
      </w:pPr>
      <w:r>
        <w:rPr>
          <w:rFonts w:ascii="Arial" w:cs="Arial" w:eastAsia="Arial" w:hAnsi="Arial"/>
          <w:sz w:val="17"/>
          <w:szCs w:val="17"/>
          <w:color w:val="auto"/>
        </w:rPr>
        <w:t>This announcement contains translations of certain RMB amounts into U.S. dollars (“US$”) at specified rates solely for the convenience of the reader. Unless otherwise stated, all translations from RMB to US$ were made at the rate of RMB6.4434 to US$1.00, the noon buying rate in effect on September 30, 2021, in the H.10 statistical release of the Federal Reserve Board. The Company makes no representation that the RMB or US$ amounts referred could be converted into US$ or RMB, as the case may be, at any particular rate or at all.</w:t>
      </w:r>
    </w:p>
    <w:p>
      <w:pPr>
        <w:spacing w:after="0" w:line="27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121" w:lineRule="exact"/>
        <w:rPr>
          <w:sz w:val="20"/>
          <w:szCs w:val="20"/>
          <w:color w:val="auto"/>
        </w:rPr>
      </w:pPr>
    </w:p>
    <w:p>
      <w:pPr>
        <w:spacing w:after="0" w:line="268" w:lineRule="auto"/>
        <w:rPr>
          <w:sz w:val="20"/>
          <w:szCs w:val="20"/>
          <w:color w:val="auto"/>
        </w:rPr>
      </w:pPr>
      <w:r>
        <w:rPr>
          <w:rFonts w:ascii="Arial" w:cs="Arial" w:eastAsia="Arial" w:hAnsi="Arial"/>
          <w:sz w:val="17"/>
          <w:szCs w:val="17"/>
          <w:color w:val="auto"/>
        </w:rPr>
        <w:t>This announcement contains forward-looking statements. These statements are made under the “safe harbor” provisions of the United States Private Securities Litigation Reform Act of 1995. These forward-looking statements can be identified by terminology such as “will,” “expects,” “anticipates,” “future,” “intends,” “plans,” “believes,” “estimates” and similar statements. Among other things, the “Business Outlook” section and quotations from management in this announcement, contain forward-looking statements. Cango may also make written or oral forward-looking statements in its periodic reports to the SEC, in its annual report to shareholders, in press releases and other written materials and in oral statements made by its officers, directors or employees to third parties. Statements that are not historical facts, including statements about Cango’s beliefs and expectations, are forward-looking statements. Forward-looking statements involve inherent risks and uncertainties. A number of factors could cause actual results to differ materially from those contained in any forward-looking statement, including but not limited to the following: Cango’s goal and strategies; Cango’s expansion plans; Cango’s future business development, financial condition and results of operations; Cango’s expectations regarding demand for, and market acceptance of, its solutions and services; Cango’s expectations regarding keeping and strengthening its relationships with dealers, financial institutions, car buyers and other platform participants; general economic and business conditions; and assumptions underlying or related to any of the foregoing. Further information regarding these and other risks is included in Cango’s filings with the SEC. All information provided in this press release and in the attachments is as of the date of this press release, and Cango does not undertake any obligation to update any forward-looking statement, except as required under applicable law.</w:t>
      </w:r>
    </w:p>
    <w:p>
      <w:pPr>
        <w:spacing w:after="0" w:line="2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Investor Relations Contact</w:t>
      </w:r>
    </w:p>
    <w:p>
      <w:pPr>
        <w:spacing w:after="0" w:line="121" w:lineRule="exact"/>
        <w:rPr>
          <w:sz w:val="20"/>
          <w:szCs w:val="20"/>
          <w:color w:val="auto"/>
        </w:rPr>
      </w:pPr>
    </w:p>
    <w:p>
      <w:pPr>
        <w:spacing w:after="0"/>
        <w:rPr>
          <w:sz w:val="20"/>
          <w:szCs w:val="20"/>
          <w:color w:val="auto"/>
        </w:rPr>
      </w:pPr>
      <w:r>
        <w:rPr>
          <w:rFonts w:ascii="Arial" w:cs="Arial" w:eastAsia="Arial" w:hAnsi="Arial"/>
          <w:sz w:val="18"/>
          <w:szCs w:val="18"/>
          <w:color w:val="auto"/>
        </w:rPr>
        <w:t>Yihe Liu</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Cango Inc.</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+86 21 3183 5088 ext.5581</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w:t>
      </w:r>
      <w:r>
        <w:rPr>
          <w:rFonts w:ascii="Arial" w:cs="Arial" w:eastAsia="Arial" w:hAnsi="Arial"/>
          <w:sz w:val="18"/>
          <w:szCs w:val="18"/>
          <w:u w:val="single" w:color="auto"/>
          <w:color w:val="auto"/>
        </w:rPr>
        <w:t>ir@cangoonline.com</w:t>
      </w:r>
    </w:p>
    <w:p>
      <w:pPr>
        <w:spacing w:after="0" w:line="103" w:lineRule="exact"/>
        <w:rPr>
          <w:sz w:val="20"/>
          <w:szCs w:val="20"/>
          <w:color w:val="auto"/>
        </w:rPr>
      </w:pPr>
    </w:p>
    <w:p>
      <w:pPr>
        <w:spacing w:after="0"/>
        <w:rPr>
          <w:sz w:val="20"/>
          <w:szCs w:val="20"/>
          <w:color w:val="auto"/>
        </w:rPr>
      </w:pPr>
      <w:r>
        <w:rPr>
          <w:rFonts w:ascii="Arial" w:cs="Arial" w:eastAsia="Arial" w:hAnsi="Arial"/>
          <w:sz w:val="18"/>
          <w:szCs w:val="18"/>
          <w:color w:val="auto"/>
        </w:rPr>
        <w:t>Twitter: https://twitter.com/Cango_Group</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Emilie Wu</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The Piacente Group, Inc.</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+86 21 6039 8363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w:t>
      </w:r>
      <w:r>
        <w:rPr>
          <w:rFonts w:ascii="Arial" w:cs="Arial" w:eastAsia="Arial" w:hAnsi="Arial"/>
          <w:sz w:val="18"/>
          <w:szCs w:val="18"/>
          <w:u w:val="single" w:color="auto"/>
          <w:color w:val="auto"/>
        </w:rPr>
        <w:t>ir@cangoonline.com</w:t>
      </w:r>
    </w:p>
    <w:p>
      <w:pPr>
        <w:spacing w:after="0" w:line="143"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6</w:t>
      </w:r>
    </w:p>
    <w:p>
      <w:pPr>
        <w:sectPr>
          <w:pgSz w:w="11900" w:h="16838" w:orient="portrait"/>
          <w:cols w:equalWidth="0" w:num="1">
            <w:col w:w="10960"/>
          </w:cols>
          <w:pgMar w:left="440" w:top="270" w:right="499" w:bottom="1440" w:gutter="0" w:footer="0" w:header="0"/>
        </w:sectPr>
      </w:pPr>
    </w:p>
    <w:bookmarkStart w:id="9" w:name="page10"/>
    <w:bookmarkEnd w:id="9"/>
    <w:p>
      <w:pPr>
        <w:jc w:val="center"/>
        <w:ind w:right="2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74865" cy="38100"/>
                    </a:xfrm>
                    <a:prstGeom prst="rect">
                      <a:avLst/>
                    </a:prstGeom>
                    <a:noFill/>
                  </pic:spPr>
                </pic:pic>
              </a:graphicData>
            </a:graphic>
          </wp:anchor>
        </w:drawing>
        <w:t>CANGO INC.</w:t>
      </w:r>
    </w:p>
    <w:p>
      <w:pPr>
        <w:spacing w:after="0" w:line="27"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UNAUDITED INTERIM CONDENSED CONSOLIDATED BALANCE SHEET</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(Amounts in Renminbi (“RMB”) and US dollar (“US$”), except for number of shares and per share data)</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5000" w:type="dxa"/>
            <w:vAlign w:val="bottom"/>
          </w:tcPr>
          <w:p>
            <w:pPr>
              <w:spacing w:after="0"/>
              <w:rPr>
                <w:sz w:val="14"/>
                <w:szCs w:val="14"/>
                <w:color w:val="auto"/>
              </w:rPr>
            </w:pPr>
          </w:p>
        </w:tc>
        <w:tc>
          <w:tcPr>
            <w:tcW w:w="1700" w:type="dxa"/>
            <w:vAlign w:val="bottom"/>
          </w:tcPr>
          <w:p>
            <w:pPr>
              <w:spacing w:after="0"/>
              <w:rPr>
                <w:sz w:val="14"/>
                <w:szCs w:val="14"/>
                <w:color w:val="auto"/>
              </w:rPr>
            </w:pPr>
          </w:p>
        </w:tc>
        <w:tc>
          <w:tcPr>
            <w:tcW w:w="172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w w:val="89"/>
              </w:rPr>
              <w:t>As of December 31, 2020</w:t>
            </w:r>
          </w:p>
        </w:tc>
        <w:tc>
          <w:tcPr>
            <w:tcW w:w="2600" w:type="dxa"/>
            <w:vAlign w:val="bottom"/>
            <w:gridSpan w:val="4"/>
          </w:tcPr>
          <w:p>
            <w:pPr>
              <w:jc w:val="right"/>
              <w:ind w:right="580"/>
              <w:spacing w:after="0"/>
              <w:rPr>
                <w:sz w:val="20"/>
                <w:szCs w:val="20"/>
                <w:color w:val="auto"/>
              </w:rPr>
            </w:pPr>
            <w:r>
              <w:rPr>
                <w:rFonts w:ascii="Arial" w:cs="Arial" w:eastAsia="Arial" w:hAnsi="Arial"/>
                <w:sz w:val="14"/>
                <w:szCs w:val="14"/>
                <w:b w:val="1"/>
                <w:bCs w:val="1"/>
                <w:color w:val="auto"/>
              </w:rPr>
              <w:t>As of September 30, 2021</w:t>
            </w:r>
          </w:p>
        </w:tc>
        <w:tc>
          <w:tcPr>
            <w:tcW w:w="0" w:type="dxa"/>
            <w:vAlign w:val="bottom"/>
          </w:tcPr>
          <w:p>
            <w:pPr>
              <w:spacing w:after="0"/>
              <w:rPr>
                <w:sz w:val="1"/>
                <w:szCs w:val="1"/>
                <w:color w:val="auto"/>
              </w:rPr>
            </w:pPr>
          </w:p>
        </w:tc>
      </w:tr>
      <w:tr>
        <w:trPr>
          <w:trHeight w:val="142"/>
        </w:trPr>
        <w:tc>
          <w:tcPr>
            <w:tcW w:w="5000" w:type="dxa"/>
            <w:vAlign w:val="bottom"/>
          </w:tcPr>
          <w:p>
            <w:pPr>
              <w:spacing w:after="0"/>
              <w:rPr>
                <w:sz w:val="12"/>
                <w:szCs w:val="12"/>
                <w:color w:val="auto"/>
              </w:rPr>
            </w:pPr>
          </w:p>
        </w:tc>
        <w:tc>
          <w:tcPr>
            <w:tcW w:w="1700" w:type="dxa"/>
            <w:vAlign w:val="bottom"/>
          </w:tcPr>
          <w:p>
            <w:pPr>
              <w:spacing w:after="0"/>
              <w:rPr>
                <w:sz w:val="12"/>
                <w:szCs w:val="12"/>
                <w:color w:val="auto"/>
              </w:rPr>
            </w:pPr>
          </w:p>
        </w:tc>
        <w:tc>
          <w:tcPr>
            <w:tcW w:w="1500" w:type="dxa"/>
            <w:vAlign w:val="bottom"/>
            <w:tcBorders>
              <w:top w:val="single" w:sz="8" w:color="auto"/>
            </w:tcBorders>
          </w:tcPr>
          <w:p>
            <w:pPr>
              <w:jc w:val="right"/>
              <w:ind w:right="494"/>
              <w:spacing w:after="0" w:line="142" w:lineRule="exact"/>
              <w:rPr>
                <w:sz w:val="20"/>
                <w:szCs w:val="20"/>
                <w:color w:val="auto"/>
              </w:rPr>
            </w:pPr>
            <w:r>
              <w:rPr>
                <w:rFonts w:ascii="Arial" w:cs="Arial" w:eastAsia="Arial" w:hAnsi="Arial"/>
                <w:sz w:val="14"/>
                <w:szCs w:val="14"/>
                <w:b w:val="1"/>
                <w:bCs w:val="1"/>
                <w:color w:val="auto"/>
              </w:rPr>
              <w:t>RMB</w:t>
            </w:r>
          </w:p>
        </w:tc>
        <w:tc>
          <w:tcPr>
            <w:tcW w:w="220" w:type="dxa"/>
            <w:vAlign w:val="bottom"/>
          </w:tcPr>
          <w:p>
            <w:pPr>
              <w:spacing w:after="0"/>
              <w:rPr>
                <w:sz w:val="12"/>
                <w:szCs w:val="12"/>
                <w:color w:val="auto"/>
              </w:rPr>
            </w:pPr>
          </w:p>
        </w:tc>
        <w:tc>
          <w:tcPr>
            <w:tcW w:w="1400" w:type="dxa"/>
            <w:vAlign w:val="bottom"/>
            <w:tcBorders>
              <w:top w:val="single" w:sz="8" w:color="auto"/>
            </w:tcBorders>
            <w:gridSpan w:val="2"/>
          </w:tcPr>
          <w:p>
            <w:pPr>
              <w:jc w:val="right"/>
              <w:ind w:right="640"/>
              <w:spacing w:after="0" w:line="142" w:lineRule="exact"/>
              <w:rPr>
                <w:sz w:val="20"/>
                <w:szCs w:val="20"/>
                <w:color w:val="auto"/>
              </w:rPr>
            </w:pPr>
            <w:r>
              <w:rPr>
                <w:rFonts w:ascii="Arial" w:cs="Arial" w:eastAsia="Arial" w:hAnsi="Arial"/>
                <w:sz w:val="14"/>
                <w:szCs w:val="14"/>
                <w:b w:val="1"/>
                <w:bCs w:val="1"/>
                <w:color w:val="auto"/>
              </w:rPr>
              <w:t>RMB</w:t>
            </w:r>
          </w:p>
        </w:tc>
        <w:tc>
          <w:tcPr>
            <w:tcW w:w="1080" w:type="dxa"/>
            <w:vAlign w:val="bottom"/>
            <w:tcBorders>
              <w:top w:val="single" w:sz="8" w:color="auto"/>
            </w:tcBorders>
          </w:tcPr>
          <w:p>
            <w:pPr>
              <w:jc w:val="right"/>
              <w:ind w:right="330"/>
              <w:spacing w:after="0" w:line="142" w:lineRule="exact"/>
              <w:rPr>
                <w:sz w:val="20"/>
                <w:szCs w:val="20"/>
                <w:color w:val="auto"/>
              </w:rPr>
            </w:pPr>
            <w:r>
              <w:rPr>
                <w:rFonts w:ascii="Arial" w:cs="Arial" w:eastAsia="Arial" w:hAnsi="Arial"/>
                <w:sz w:val="14"/>
                <w:szCs w:val="14"/>
                <w:b w:val="1"/>
                <w:bCs w:val="1"/>
                <w:color w:val="auto"/>
              </w:rPr>
              <w:t>US$</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7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b w:val="1"/>
                <w:bCs w:val="1"/>
                <w:color w:val="auto"/>
              </w:rPr>
              <w:t>Current assets:</w:t>
            </w:r>
          </w:p>
        </w:tc>
        <w:tc>
          <w:tcPr>
            <w:tcW w:w="170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1,426,899,576</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906,425,650</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140,675,055</w:t>
            </w: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Restricted cash - current</w:t>
            </w:r>
          </w:p>
        </w:tc>
        <w:tc>
          <w:tcPr>
            <w:tcW w:w="3420" w:type="dxa"/>
            <w:vAlign w:val="bottom"/>
            <w:gridSpan w:val="3"/>
          </w:tcPr>
          <w:p>
            <w:pPr>
              <w:jc w:val="right"/>
              <w:ind w:right="220"/>
              <w:spacing w:after="0"/>
              <w:rPr>
                <w:sz w:val="20"/>
                <w:szCs w:val="20"/>
                <w:color w:val="auto"/>
              </w:rPr>
            </w:pPr>
            <w:r>
              <w:rPr>
                <w:rFonts w:ascii="Arial" w:cs="Arial" w:eastAsia="Arial" w:hAnsi="Arial"/>
                <w:sz w:val="18"/>
                <w:szCs w:val="18"/>
                <w:color w:val="auto"/>
              </w:rPr>
              <w:t>9,693,008</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102,552,307</w:t>
            </w: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15,915,868</w:t>
            </w: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Short-term investments</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4,342,356,612</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3,588,187,133</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556,877,911</w:t>
            </w: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Accounts receivable, net</w:t>
            </w:r>
          </w:p>
        </w:tc>
        <w:tc>
          <w:tcPr>
            <w:tcW w:w="3420" w:type="dxa"/>
            <w:vAlign w:val="bottom"/>
            <w:gridSpan w:val="3"/>
          </w:tcPr>
          <w:p>
            <w:pPr>
              <w:jc w:val="right"/>
              <w:ind w:right="220"/>
              <w:spacing w:after="0"/>
              <w:rPr>
                <w:sz w:val="20"/>
                <w:szCs w:val="20"/>
                <w:color w:val="auto"/>
              </w:rPr>
            </w:pPr>
            <w:r>
              <w:rPr>
                <w:rFonts w:ascii="Arial" w:cs="Arial" w:eastAsia="Arial" w:hAnsi="Arial"/>
                <w:sz w:val="18"/>
                <w:szCs w:val="18"/>
                <w:color w:val="auto"/>
              </w:rPr>
              <w:t>141,594,170</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186,847,242</w:t>
            </w: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28,998,237</w:t>
            </w: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Finance lease receivables - current, net</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2,035,397,525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1,528,881,416</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237,278,675</w:t>
            </w: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Short-term consumer financing receivables, net</w:t>
            </w:r>
          </w:p>
        </w:tc>
        <w:tc>
          <w:tcPr>
            <w:tcW w:w="3420" w:type="dxa"/>
            <w:vAlign w:val="bottom"/>
            <w:gridSpan w:val="3"/>
          </w:tcPr>
          <w:p>
            <w:pPr>
              <w:jc w:val="right"/>
              <w:ind w:right="220"/>
              <w:spacing w:after="0"/>
              <w:rPr>
                <w:sz w:val="20"/>
                <w:szCs w:val="20"/>
                <w:color w:val="auto"/>
              </w:rPr>
            </w:pPr>
            <w:r>
              <w:rPr>
                <w:rFonts w:ascii="Arial" w:cs="Arial" w:eastAsia="Arial" w:hAnsi="Arial"/>
                <w:sz w:val="18"/>
                <w:szCs w:val="18"/>
                <w:color w:val="auto"/>
              </w:rPr>
              <w:t>23,168</w:t>
            </w:r>
          </w:p>
        </w:tc>
        <w:tc>
          <w:tcPr>
            <w:tcW w:w="1400" w:type="dxa"/>
            <w:vAlign w:val="bottom"/>
            <w:gridSpan w:val="2"/>
          </w:tcPr>
          <w:p>
            <w:pPr>
              <w:jc w:val="right"/>
              <w:ind w:right="3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Financing receivables, net</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20,105,893</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50,124,675</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7,779,228</w:t>
            </w: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Short-term contract asset</w:t>
            </w:r>
          </w:p>
        </w:tc>
        <w:tc>
          <w:tcPr>
            <w:tcW w:w="3420" w:type="dxa"/>
            <w:vAlign w:val="bottom"/>
            <w:gridSpan w:val="3"/>
          </w:tcPr>
          <w:p>
            <w:pPr>
              <w:jc w:val="right"/>
              <w:ind w:right="220"/>
              <w:spacing w:after="0"/>
              <w:rPr>
                <w:sz w:val="20"/>
                <w:szCs w:val="20"/>
                <w:color w:val="auto"/>
              </w:rPr>
            </w:pPr>
            <w:r>
              <w:rPr>
                <w:rFonts w:ascii="Arial" w:cs="Arial" w:eastAsia="Arial" w:hAnsi="Arial"/>
                <w:sz w:val="18"/>
                <w:szCs w:val="18"/>
                <w:color w:val="auto"/>
              </w:rPr>
              <w:t>364,618,635</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799,673,531</w:t>
            </w: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124,107,386</w:t>
            </w: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Prepayments and other current assets</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558,360,959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690,993,737</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107,240,546</w:t>
            </w:r>
          </w:p>
        </w:tc>
        <w:tc>
          <w:tcPr>
            <w:tcW w:w="0" w:type="dxa"/>
            <w:vAlign w:val="bottom"/>
          </w:tcPr>
          <w:p>
            <w:pPr>
              <w:spacing w:after="0"/>
              <w:rPr>
                <w:sz w:val="1"/>
                <w:szCs w:val="1"/>
                <w:color w:val="auto"/>
              </w:rPr>
            </w:pPr>
          </w:p>
        </w:tc>
      </w:tr>
      <w:tr>
        <w:trPr>
          <w:trHeight w:val="230"/>
        </w:trPr>
        <w:tc>
          <w:tcPr>
            <w:tcW w:w="5000" w:type="dxa"/>
            <w:vAlign w:val="bottom"/>
          </w:tcPr>
          <w:p>
            <w:pPr>
              <w:spacing w:after="0"/>
              <w:rPr>
                <w:sz w:val="20"/>
                <w:szCs w:val="20"/>
                <w:color w:val="auto"/>
              </w:rPr>
            </w:pPr>
            <w:r>
              <w:rPr>
                <w:rFonts w:ascii="Arial" w:cs="Arial" w:eastAsia="Arial" w:hAnsi="Arial"/>
                <w:sz w:val="18"/>
                <w:szCs w:val="18"/>
                <w:b w:val="1"/>
                <w:bCs w:val="1"/>
                <w:color w:val="auto"/>
              </w:rPr>
              <w:t>Total current assets</w:t>
            </w:r>
          </w:p>
        </w:tc>
        <w:tc>
          <w:tcPr>
            <w:tcW w:w="1700" w:type="dxa"/>
            <w:vAlign w:val="bottom"/>
          </w:tcPr>
          <w:p>
            <w:pPr>
              <w:spacing w:after="0"/>
              <w:rPr>
                <w:sz w:val="20"/>
                <w:szCs w:val="20"/>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8,899,049,546</w:t>
            </w:r>
          </w:p>
        </w:tc>
        <w:tc>
          <w:tcPr>
            <w:tcW w:w="220" w:type="dxa"/>
            <w:vAlign w:val="bottom"/>
          </w:tcPr>
          <w:p>
            <w:pPr>
              <w:spacing w:after="0"/>
              <w:rPr>
                <w:sz w:val="20"/>
                <w:szCs w:val="20"/>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7,853,685,691</w:t>
            </w:r>
          </w:p>
        </w:tc>
        <w:tc>
          <w:tcPr>
            <w:tcW w:w="220" w:type="dxa"/>
            <w:vAlign w:val="bottom"/>
          </w:tcPr>
          <w:p>
            <w:pPr>
              <w:spacing w:after="0"/>
              <w:rPr>
                <w:sz w:val="20"/>
                <w:szCs w:val="20"/>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1,218,872,906</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Non-current assets:</w:t>
            </w:r>
          </w:p>
        </w:tc>
        <w:tc>
          <w:tcPr>
            <w:tcW w:w="17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Restricted cash - non-current</w:t>
            </w:r>
          </w:p>
        </w:tc>
        <w:tc>
          <w:tcPr>
            <w:tcW w:w="3420" w:type="dxa"/>
            <w:vAlign w:val="bottom"/>
            <w:gridSpan w:val="3"/>
          </w:tcPr>
          <w:p>
            <w:pPr>
              <w:jc w:val="right"/>
              <w:ind w:right="220"/>
              <w:spacing w:after="0"/>
              <w:rPr>
                <w:sz w:val="20"/>
                <w:szCs w:val="20"/>
                <w:color w:val="auto"/>
              </w:rPr>
            </w:pPr>
            <w:r>
              <w:rPr>
                <w:rFonts w:ascii="Arial" w:cs="Arial" w:eastAsia="Arial" w:hAnsi="Arial"/>
                <w:sz w:val="18"/>
                <w:szCs w:val="18"/>
                <w:color w:val="auto"/>
              </w:rPr>
              <w:t>878,299,140</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733,538,679</w:t>
            </w: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113,843,418</w:t>
            </w: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Goodwill</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145,063,857</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148,657,971</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23,071,355</w:t>
            </w: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Property and equipment, net</w:t>
            </w:r>
          </w:p>
        </w:tc>
        <w:tc>
          <w:tcPr>
            <w:tcW w:w="3420" w:type="dxa"/>
            <w:vAlign w:val="bottom"/>
            <w:gridSpan w:val="3"/>
          </w:tcPr>
          <w:p>
            <w:pPr>
              <w:jc w:val="right"/>
              <w:ind w:right="220"/>
              <w:spacing w:after="0"/>
              <w:rPr>
                <w:sz w:val="20"/>
                <w:szCs w:val="20"/>
                <w:color w:val="auto"/>
              </w:rPr>
            </w:pPr>
            <w:r>
              <w:rPr>
                <w:rFonts w:ascii="Arial" w:cs="Arial" w:eastAsia="Arial" w:hAnsi="Arial"/>
                <w:sz w:val="18"/>
                <w:szCs w:val="18"/>
                <w:color w:val="auto"/>
              </w:rPr>
              <w:t>10,311,971</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19,914,252</w:t>
            </w: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3,090,643</w:t>
            </w: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Intangible assets</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44,887,871</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45,702,955</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7,092,987</w:t>
            </w: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Long-term contract asset</w:t>
            </w:r>
          </w:p>
        </w:tc>
        <w:tc>
          <w:tcPr>
            <w:tcW w:w="3420" w:type="dxa"/>
            <w:vAlign w:val="bottom"/>
            <w:gridSpan w:val="3"/>
          </w:tcPr>
          <w:p>
            <w:pPr>
              <w:jc w:val="right"/>
              <w:ind w:right="220"/>
              <w:spacing w:after="0"/>
              <w:rPr>
                <w:sz w:val="20"/>
                <w:szCs w:val="20"/>
                <w:color w:val="auto"/>
              </w:rPr>
            </w:pPr>
            <w:r>
              <w:rPr>
                <w:rFonts w:ascii="Arial" w:cs="Arial" w:eastAsia="Arial" w:hAnsi="Arial"/>
                <w:sz w:val="18"/>
                <w:szCs w:val="18"/>
                <w:color w:val="auto"/>
              </w:rPr>
              <w:t>281,374,110</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489,252,809</w:t>
            </w: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75,930,845</w:t>
            </w: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Deferred tax assets</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170,951,082</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424,256,893</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65,843,637</w:t>
            </w: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Finance lease receivables - non-current, net</w:t>
            </w:r>
          </w:p>
        </w:tc>
        <w:tc>
          <w:tcPr>
            <w:tcW w:w="3420" w:type="dxa"/>
            <w:vAlign w:val="bottom"/>
            <w:gridSpan w:val="3"/>
          </w:tcPr>
          <w:p>
            <w:pPr>
              <w:jc w:val="right"/>
              <w:ind w:right="220"/>
              <w:spacing w:after="0"/>
              <w:rPr>
                <w:sz w:val="20"/>
                <w:szCs w:val="20"/>
                <w:color w:val="auto"/>
              </w:rPr>
            </w:pPr>
            <w:r>
              <w:rPr>
                <w:rFonts w:ascii="Arial" w:cs="Arial" w:eastAsia="Arial" w:hAnsi="Arial"/>
                <w:sz w:val="18"/>
                <w:szCs w:val="18"/>
                <w:color w:val="auto"/>
              </w:rPr>
              <w:t>1,454,499,864</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1,040,027,023</w:t>
            </w: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161,409,663</w:t>
            </w: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Other non-current assets</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261,495,158</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483,107,022</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74,977,034</w:t>
            </w:r>
          </w:p>
        </w:tc>
        <w:tc>
          <w:tcPr>
            <w:tcW w:w="0" w:type="dxa"/>
            <w:vAlign w:val="bottom"/>
          </w:tcPr>
          <w:p>
            <w:pPr>
              <w:spacing w:after="0"/>
              <w:rPr>
                <w:sz w:val="1"/>
                <w:szCs w:val="1"/>
                <w:color w:val="auto"/>
              </w:rPr>
            </w:pPr>
          </w:p>
        </w:tc>
      </w:tr>
      <w:tr>
        <w:trPr>
          <w:trHeight w:val="230"/>
        </w:trPr>
        <w:tc>
          <w:tcPr>
            <w:tcW w:w="5000" w:type="dxa"/>
            <w:vAlign w:val="bottom"/>
          </w:tcPr>
          <w:p>
            <w:pPr>
              <w:spacing w:after="0"/>
              <w:rPr>
                <w:sz w:val="20"/>
                <w:szCs w:val="20"/>
                <w:color w:val="auto"/>
              </w:rPr>
            </w:pPr>
            <w:r>
              <w:rPr>
                <w:rFonts w:ascii="Arial" w:cs="Arial" w:eastAsia="Arial" w:hAnsi="Arial"/>
                <w:sz w:val="18"/>
                <w:szCs w:val="18"/>
                <w:b w:val="1"/>
                <w:bCs w:val="1"/>
                <w:color w:val="auto"/>
              </w:rPr>
              <w:t>Total non-current assets</w:t>
            </w:r>
          </w:p>
        </w:tc>
        <w:tc>
          <w:tcPr>
            <w:tcW w:w="1700" w:type="dxa"/>
            <w:vAlign w:val="bottom"/>
          </w:tcPr>
          <w:p>
            <w:pPr>
              <w:spacing w:after="0"/>
              <w:rPr>
                <w:sz w:val="20"/>
                <w:szCs w:val="20"/>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3,246,883,053</w:t>
            </w:r>
          </w:p>
        </w:tc>
        <w:tc>
          <w:tcPr>
            <w:tcW w:w="220" w:type="dxa"/>
            <w:vAlign w:val="bottom"/>
          </w:tcPr>
          <w:p>
            <w:pPr>
              <w:spacing w:after="0"/>
              <w:rPr>
                <w:sz w:val="20"/>
                <w:szCs w:val="20"/>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3,384,457,604</w:t>
            </w:r>
          </w:p>
        </w:tc>
        <w:tc>
          <w:tcPr>
            <w:tcW w:w="220" w:type="dxa"/>
            <w:vAlign w:val="bottom"/>
          </w:tcPr>
          <w:p>
            <w:pPr>
              <w:spacing w:after="0"/>
              <w:rPr>
                <w:sz w:val="20"/>
                <w:szCs w:val="20"/>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525,259,582</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12,145,932,599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w w:val="92"/>
              </w:rPr>
              <w:t>11,238,143,295</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w w:val="92"/>
              </w:rPr>
              <w:t>1,744,132,488</w:t>
            </w:r>
          </w:p>
        </w:tc>
        <w:tc>
          <w:tcPr>
            <w:tcW w:w="0" w:type="dxa"/>
            <w:vAlign w:val="bottom"/>
          </w:tcPr>
          <w:p>
            <w:pPr>
              <w:spacing w:after="0"/>
              <w:rPr>
                <w:sz w:val="1"/>
                <w:szCs w:val="1"/>
                <w:color w:val="auto"/>
              </w:rPr>
            </w:pPr>
          </w:p>
        </w:tc>
      </w:tr>
      <w:tr>
        <w:trPr>
          <w:trHeight w:val="20"/>
        </w:trPr>
        <w:tc>
          <w:tcPr>
            <w:tcW w:w="5000" w:type="dxa"/>
            <w:vAlign w:val="bottom"/>
            <w:vMerge w:val="restart"/>
          </w:tcPr>
          <w:p>
            <w:pPr>
              <w:spacing w:after="0"/>
              <w:rPr>
                <w:sz w:val="20"/>
                <w:szCs w:val="20"/>
                <w:color w:val="auto"/>
              </w:rPr>
            </w:pPr>
            <w:r>
              <w:rPr>
                <w:rFonts w:ascii="Arial" w:cs="Arial" w:eastAsia="Arial" w:hAnsi="Arial"/>
                <w:sz w:val="18"/>
                <w:szCs w:val="18"/>
                <w:b w:val="1"/>
                <w:bCs w:val="1"/>
                <w:color w:val="auto"/>
              </w:rPr>
              <w:t>LIABILITIES AND SHAREHOLDERS’ EQUITY</w:t>
            </w:r>
          </w:p>
        </w:tc>
        <w:tc>
          <w:tcPr>
            <w:tcW w:w="1700" w:type="dxa"/>
            <w:vAlign w:val="bottom"/>
          </w:tcPr>
          <w:p>
            <w:pPr>
              <w:spacing w:after="0" w:line="20" w:lineRule="exact"/>
              <w:rPr>
                <w:sz w:val="1"/>
                <w:szCs w:val="1"/>
                <w:color w:val="auto"/>
              </w:rPr>
            </w:pPr>
          </w:p>
        </w:tc>
        <w:tc>
          <w:tcPr>
            <w:tcW w:w="15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5000" w:type="dxa"/>
            <w:vAlign w:val="bottom"/>
            <w:vMerge w:val="continue"/>
          </w:tcPr>
          <w:p>
            <w:pPr>
              <w:spacing w:after="0"/>
              <w:rPr>
                <w:sz w:val="18"/>
                <w:szCs w:val="18"/>
                <w:color w:val="auto"/>
              </w:rPr>
            </w:pPr>
          </w:p>
        </w:tc>
        <w:tc>
          <w:tcPr>
            <w:tcW w:w="170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 liabilities:</w:t>
            </w:r>
          </w:p>
        </w:tc>
        <w:tc>
          <w:tcPr>
            <w:tcW w:w="17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Short-term debts</w:t>
            </w:r>
          </w:p>
        </w:tc>
        <w:tc>
          <w:tcPr>
            <w:tcW w:w="3420" w:type="dxa"/>
            <w:vAlign w:val="bottom"/>
            <w:gridSpan w:val="3"/>
          </w:tcPr>
          <w:p>
            <w:pPr>
              <w:jc w:val="right"/>
              <w:ind w:right="220"/>
              <w:spacing w:after="0"/>
              <w:rPr>
                <w:sz w:val="20"/>
                <w:szCs w:val="20"/>
                <w:color w:val="auto"/>
              </w:rPr>
            </w:pPr>
            <w:r>
              <w:rPr>
                <w:rFonts w:ascii="Arial" w:cs="Arial" w:eastAsia="Arial" w:hAnsi="Arial"/>
                <w:sz w:val="18"/>
                <w:szCs w:val="18"/>
                <w:color w:val="auto"/>
              </w:rPr>
              <w:t>355,816,940</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991,933,733</w:t>
            </w: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153,945,701</w:t>
            </w: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Long-term debts—current</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1,228,783,730</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1,006,900,131</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156,268,450</w:t>
            </w: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Accrued expenses and other current liabilities</w:t>
            </w:r>
          </w:p>
        </w:tc>
        <w:tc>
          <w:tcPr>
            <w:tcW w:w="3420" w:type="dxa"/>
            <w:vAlign w:val="bottom"/>
            <w:gridSpan w:val="3"/>
          </w:tcPr>
          <w:p>
            <w:pPr>
              <w:jc w:val="right"/>
              <w:ind w:right="220"/>
              <w:spacing w:after="0"/>
              <w:rPr>
                <w:sz w:val="20"/>
                <w:szCs w:val="20"/>
                <w:color w:val="auto"/>
              </w:rPr>
            </w:pPr>
            <w:r>
              <w:rPr>
                <w:rFonts w:ascii="Arial" w:cs="Arial" w:eastAsia="Arial" w:hAnsi="Arial"/>
                <w:sz w:val="18"/>
                <w:szCs w:val="18"/>
                <w:color w:val="auto"/>
              </w:rPr>
              <w:t>324,734,202</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471,273,484</w:t>
            </w: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73,140,496</w:t>
            </w: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Risk assurance liabilities</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460,829,299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678,662,222</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105,326,725</w:t>
            </w: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Income tax payable</w:t>
            </w:r>
          </w:p>
        </w:tc>
        <w:tc>
          <w:tcPr>
            <w:tcW w:w="1700" w:type="dxa"/>
            <w:vAlign w:val="bottom"/>
          </w:tcPr>
          <w:p>
            <w:pPr>
              <w:spacing w:after="0"/>
              <w:rPr>
                <w:sz w:val="18"/>
                <w:szCs w:val="18"/>
                <w:color w:val="auto"/>
              </w:rPr>
            </w:pPr>
          </w:p>
        </w:tc>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87,132,455</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371,913,283</w:t>
            </w: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57,720,036</w:t>
            </w:r>
          </w:p>
        </w:tc>
        <w:tc>
          <w:tcPr>
            <w:tcW w:w="0" w:type="dxa"/>
            <w:vAlign w:val="bottom"/>
          </w:tcPr>
          <w:p>
            <w:pPr>
              <w:spacing w:after="0"/>
              <w:rPr>
                <w:sz w:val="1"/>
                <w:szCs w:val="1"/>
                <w:color w:val="auto"/>
              </w:rPr>
            </w:pPr>
          </w:p>
        </w:tc>
      </w:tr>
      <w:tr>
        <w:trPr>
          <w:trHeight w:val="27"/>
        </w:trPr>
        <w:tc>
          <w:tcPr>
            <w:tcW w:w="5000" w:type="dxa"/>
            <w:vAlign w:val="bottom"/>
          </w:tcPr>
          <w:p>
            <w:pPr>
              <w:spacing w:after="0"/>
              <w:rPr>
                <w:sz w:val="2"/>
                <w:szCs w:val="2"/>
                <w:color w:val="auto"/>
              </w:rPr>
            </w:pPr>
          </w:p>
        </w:tc>
        <w:tc>
          <w:tcPr>
            <w:tcW w:w="1700" w:type="dxa"/>
            <w:vAlign w:val="bottom"/>
          </w:tcPr>
          <w:p>
            <w:pPr>
              <w:spacing w:after="0"/>
              <w:rPr>
                <w:sz w:val="2"/>
                <w:szCs w:val="2"/>
                <w:color w:val="auto"/>
              </w:rPr>
            </w:pPr>
          </w:p>
        </w:tc>
        <w:tc>
          <w:tcPr>
            <w:tcW w:w="15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08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current liabilities</w:t>
            </w:r>
          </w:p>
        </w:tc>
        <w:tc>
          <w:tcPr>
            <w:tcW w:w="1700" w:type="dxa"/>
            <w:vAlign w:val="bottom"/>
            <w:shd w:val="clear" w:color="auto" w:fill="CCEEFF"/>
          </w:tcPr>
          <w:p>
            <w:pPr>
              <w:spacing w:after="0"/>
              <w:rPr>
                <w:sz w:val="18"/>
                <w:szCs w:val="18"/>
                <w:color w:val="auto"/>
              </w:rPr>
            </w:pPr>
          </w:p>
        </w:tc>
        <w:tc>
          <w:tcPr>
            <w:tcW w:w="1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2,457,296,626</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3,520,682,853</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546,401,408</w:t>
            </w:r>
          </w:p>
        </w:tc>
        <w:tc>
          <w:tcPr>
            <w:tcW w:w="0" w:type="dxa"/>
            <w:vAlign w:val="bottom"/>
          </w:tcPr>
          <w:p>
            <w:pPr>
              <w:spacing w:after="0"/>
              <w:rPr>
                <w:sz w:val="1"/>
                <w:szCs w:val="1"/>
                <w:color w:val="auto"/>
              </w:rPr>
            </w:pPr>
          </w:p>
        </w:tc>
      </w:tr>
      <w:tr>
        <w:trPr>
          <w:trHeight w:val="223"/>
        </w:trPr>
        <w:tc>
          <w:tcPr>
            <w:tcW w:w="5000" w:type="dxa"/>
            <w:vAlign w:val="bottom"/>
          </w:tcPr>
          <w:p>
            <w:pPr>
              <w:spacing w:after="0"/>
              <w:rPr>
                <w:sz w:val="20"/>
                <w:szCs w:val="20"/>
                <w:color w:val="auto"/>
              </w:rPr>
            </w:pPr>
            <w:r>
              <w:rPr>
                <w:rFonts w:ascii="Arial" w:cs="Arial" w:eastAsia="Arial" w:hAnsi="Arial"/>
                <w:sz w:val="18"/>
                <w:szCs w:val="18"/>
                <w:b w:val="1"/>
                <w:bCs w:val="1"/>
                <w:color w:val="auto"/>
              </w:rPr>
              <w:t>Non-current liabilities:</w:t>
            </w:r>
          </w:p>
        </w:tc>
        <w:tc>
          <w:tcPr>
            <w:tcW w:w="1700" w:type="dxa"/>
            <w:vAlign w:val="bottom"/>
          </w:tcPr>
          <w:p>
            <w:pPr>
              <w:spacing w:after="0"/>
              <w:rPr>
                <w:sz w:val="19"/>
                <w:szCs w:val="19"/>
                <w:color w:val="auto"/>
              </w:rPr>
            </w:pPr>
          </w:p>
        </w:tc>
        <w:tc>
          <w:tcPr>
            <w:tcW w:w="1500" w:type="dxa"/>
            <w:vAlign w:val="bottom"/>
            <w:tcBorders>
              <w:top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180" w:type="dxa"/>
            <w:vAlign w:val="bottom"/>
            <w:tcBorders>
              <w:top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80" w:type="dxa"/>
            <w:vAlign w:val="bottom"/>
            <w:tcBorders>
              <w:top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Long-term debts</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977,791,191</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638,447,901</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99,085,561</w:t>
            </w: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Deferred tax liability</w:t>
            </w:r>
          </w:p>
        </w:tc>
        <w:tc>
          <w:tcPr>
            <w:tcW w:w="3420" w:type="dxa"/>
            <w:vAlign w:val="bottom"/>
            <w:gridSpan w:val="3"/>
          </w:tcPr>
          <w:p>
            <w:pPr>
              <w:jc w:val="right"/>
              <w:ind w:right="220"/>
              <w:spacing w:after="0"/>
              <w:rPr>
                <w:sz w:val="20"/>
                <w:szCs w:val="20"/>
                <w:color w:val="auto"/>
              </w:rPr>
            </w:pPr>
            <w:r>
              <w:rPr>
                <w:rFonts w:ascii="Arial" w:cs="Arial" w:eastAsia="Arial" w:hAnsi="Arial"/>
                <w:sz w:val="18"/>
                <w:szCs w:val="18"/>
                <w:color w:val="auto"/>
              </w:rPr>
              <w:t>330,765,029</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125,506,827</w:t>
            </w:r>
          </w:p>
        </w:tc>
        <w:tc>
          <w:tcPr>
            <w:tcW w:w="1200" w:type="dxa"/>
            <w:vAlign w:val="bottom"/>
            <w:gridSpan w:val="2"/>
          </w:tcPr>
          <w:p>
            <w:pPr>
              <w:jc w:val="right"/>
              <w:ind w:right="120"/>
              <w:spacing w:after="0"/>
              <w:rPr>
                <w:sz w:val="20"/>
                <w:szCs w:val="20"/>
                <w:color w:val="auto"/>
              </w:rPr>
            </w:pPr>
            <w:r>
              <w:rPr>
                <w:rFonts w:ascii="Arial" w:cs="Arial" w:eastAsia="Arial" w:hAnsi="Arial"/>
                <w:sz w:val="18"/>
                <w:szCs w:val="18"/>
                <w:color w:val="auto"/>
              </w:rPr>
              <w:t>19,478,354</w:t>
            </w: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Other non-current liabilities</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4,870,616</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1,598,485</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248,081</w:t>
            </w:r>
          </w:p>
        </w:tc>
        <w:tc>
          <w:tcPr>
            <w:tcW w:w="0" w:type="dxa"/>
            <w:vAlign w:val="bottom"/>
          </w:tcPr>
          <w:p>
            <w:pPr>
              <w:spacing w:after="0"/>
              <w:rPr>
                <w:sz w:val="1"/>
                <w:szCs w:val="1"/>
                <w:color w:val="auto"/>
              </w:rPr>
            </w:pPr>
          </w:p>
        </w:tc>
      </w:tr>
      <w:tr>
        <w:trPr>
          <w:trHeight w:val="230"/>
        </w:trPr>
        <w:tc>
          <w:tcPr>
            <w:tcW w:w="5000" w:type="dxa"/>
            <w:vAlign w:val="bottom"/>
          </w:tcPr>
          <w:p>
            <w:pPr>
              <w:spacing w:after="0"/>
              <w:rPr>
                <w:sz w:val="20"/>
                <w:szCs w:val="20"/>
                <w:color w:val="auto"/>
              </w:rPr>
            </w:pPr>
            <w:r>
              <w:rPr>
                <w:rFonts w:ascii="Arial" w:cs="Arial" w:eastAsia="Arial" w:hAnsi="Arial"/>
                <w:sz w:val="18"/>
                <w:szCs w:val="18"/>
                <w:b w:val="1"/>
                <w:bCs w:val="1"/>
                <w:color w:val="auto"/>
              </w:rPr>
              <w:t>Total non-current liabilities</w:t>
            </w:r>
          </w:p>
        </w:tc>
        <w:tc>
          <w:tcPr>
            <w:tcW w:w="1700" w:type="dxa"/>
            <w:vAlign w:val="bottom"/>
          </w:tcPr>
          <w:p>
            <w:pPr>
              <w:spacing w:after="0"/>
              <w:rPr>
                <w:sz w:val="20"/>
                <w:szCs w:val="20"/>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1,313,426,836</w:t>
            </w:r>
          </w:p>
        </w:tc>
        <w:tc>
          <w:tcPr>
            <w:tcW w:w="220" w:type="dxa"/>
            <w:vAlign w:val="bottom"/>
          </w:tcPr>
          <w:p>
            <w:pPr>
              <w:spacing w:after="0"/>
              <w:rPr>
                <w:sz w:val="20"/>
                <w:szCs w:val="20"/>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765,553,213</w:t>
            </w:r>
          </w:p>
        </w:tc>
        <w:tc>
          <w:tcPr>
            <w:tcW w:w="220" w:type="dxa"/>
            <w:vAlign w:val="bottom"/>
          </w:tcPr>
          <w:p>
            <w:pPr>
              <w:spacing w:after="0"/>
              <w:rPr>
                <w:sz w:val="20"/>
                <w:szCs w:val="20"/>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118,811,996</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3,770,723,462</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4,286,236,066</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665,213,404</w:t>
            </w:r>
          </w:p>
        </w:tc>
        <w:tc>
          <w:tcPr>
            <w:tcW w:w="0" w:type="dxa"/>
            <w:vAlign w:val="bottom"/>
          </w:tcPr>
          <w:p>
            <w:pPr>
              <w:spacing w:after="0"/>
              <w:rPr>
                <w:sz w:val="1"/>
                <w:szCs w:val="1"/>
                <w:color w:val="auto"/>
              </w:rPr>
            </w:pPr>
          </w:p>
        </w:tc>
      </w:tr>
      <w:tr>
        <w:trPr>
          <w:trHeight w:val="223"/>
        </w:trPr>
        <w:tc>
          <w:tcPr>
            <w:tcW w:w="5000" w:type="dxa"/>
            <w:vAlign w:val="bottom"/>
          </w:tcPr>
          <w:p>
            <w:pPr>
              <w:spacing w:after="0"/>
              <w:rPr>
                <w:sz w:val="20"/>
                <w:szCs w:val="20"/>
                <w:color w:val="auto"/>
              </w:rPr>
            </w:pPr>
            <w:r>
              <w:rPr>
                <w:rFonts w:ascii="Arial" w:cs="Arial" w:eastAsia="Arial" w:hAnsi="Arial"/>
                <w:sz w:val="18"/>
                <w:szCs w:val="18"/>
                <w:b w:val="1"/>
                <w:bCs w:val="1"/>
                <w:color w:val="auto"/>
              </w:rPr>
              <w:t>Shareholders’ equity</w:t>
            </w:r>
          </w:p>
        </w:tc>
        <w:tc>
          <w:tcPr>
            <w:tcW w:w="1700" w:type="dxa"/>
            <w:vAlign w:val="bottom"/>
          </w:tcPr>
          <w:p>
            <w:pPr>
              <w:spacing w:after="0"/>
              <w:rPr>
                <w:sz w:val="19"/>
                <w:szCs w:val="19"/>
                <w:color w:val="auto"/>
              </w:rPr>
            </w:pPr>
          </w:p>
        </w:tc>
        <w:tc>
          <w:tcPr>
            <w:tcW w:w="1500" w:type="dxa"/>
            <w:vAlign w:val="bottom"/>
            <w:tcBorders>
              <w:top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180" w:type="dxa"/>
            <w:vAlign w:val="bottom"/>
            <w:tcBorders>
              <w:top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80" w:type="dxa"/>
            <w:vAlign w:val="bottom"/>
            <w:tcBorders>
              <w:top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Ordinary shares</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204,260</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204,260</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31,701</w:t>
            </w: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Treasury shares</w:t>
            </w:r>
          </w:p>
        </w:tc>
        <w:tc>
          <w:tcPr>
            <w:tcW w:w="3420" w:type="dxa"/>
            <w:vAlign w:val="bottom"/>
            <w:gridSpan w:val="3"/>
          </w:tcPr>
          <w:p>
            <w:pPr>
              <w:jc w:val="right"/>
              <w:ind w:right="160"/>
              <w:spacing w:after="0"/>
              <w:rPr>
                <w:sz w:val="20"/>
                <w:szCs w:val="20"/>
                <w:color w:val="auto"/>
              </w:rPr>
            </w:pPr>
            <w:r>
              <w:rPr>
                <w:rFonts w:ascii="Arial" w:cs="Arial" w:eastAsia="Arial" w:hAnsi="Arial"/>
                <w:sz w:val="18"/>
                <w:szCs w:val="18"/>
                <w:color w:val="auto"/>
              </w:rPr>
              <w:t>(56,419,225)</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(411,075,103)</w:t>
            </w: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(63,797,856)</w:t>
            </w: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Additional paid-in capital</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4,591,455,557</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4,648,746,810</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721,474,192</w:t>
            </w:r>
          </w:p>
        </w:tc>
        <w:tc>
          <w:tcPr>
            <w:tcW w:w="0" w:type="dxa"/>
            <w:vAlign w:val="bottom"/>
          </w:tcPr>
          <w:p>
            <w:pPr>
              <w:spacing w:after="0"/>
              <w:rPr>
                <w:sz w:val="1"/>
                <w:szCs w:val="1"/>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Accumulated other comprehensive income</w:t>
            </w:r>
          </w:p>
        </w:tc>
        <w:tc>
          <w:tcPr>
            <w:tcW w:w="3420" w:type="dxa"/>
            <w:vAlign w:val="bottom"/>
            <w:gridSpan w:val="3"/>
          </w:tcPr>
          <w:p>
            <w:pPr>
              <w:jc w:val="right"/>
              <w:ind w:right="160"/>
              <w:spacing w:after="0"/>
              <w:rPr>
                <w:sz w:val="20"/>
                <w:szCs w:val="20"/>
                <w:color w:val="auto"/>
              </w:rPr>
            </w:pPr>
            <w:r>
              <w:rPr>
                <w:rFonts w:ascii="Arial" w:cs="Arial" w:eastAsia="Arial" w:hAnsi="Arial"/>
                <w:sz w:val="18"/>
                <w:szCs w:val="18"/>
                <w:color w:val="auto"/>
              </w:rPr>
              <w:t>(115,386,427)</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(153,214,761)</w:t>
            </w:r>
          </w:p>
        </w:tc>
        <w:tc>
          <w:tcPr>
            <w:tcW w:w="1200" w:type="dxa"/>
            <w:vAlign w:val="bottom"/>
            <w:gridSpan w:val="2"/>
          </w:tcPr>
          <w:p>
            <w:pPr>
              <w:jc w:val="right"/>
              <w:ind w:right="60"/>
              <w:spacing w:after="0"/>
              <w:rPr>
                <w:sz w:val="20"/>
                <w:szCs w:val="20"/>
                <w:color w:val="auto"/>
              </w:rPr>
            </w:pPr>
            <w:r>
              <w:rPr>
                <w:rFonts w:ascii="Arial" w:cs="Arial" w:eastAsia="Arial" w:hAnsi="Arial"/>
                <w:sz w:val="18"/>
                <w:szCs w:val="18"/>
                <w:color w:val="auto"/>
              </w:rPr>
              <w:t>(23,778,558)</w:t>
            </w: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3,955,354,972</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2,867,246,023</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444,989,605</w:t>
            </w:r>
          </w:p>
        </w:tc>
        <w:tc>
          <w:tcPr>
            <w:tcW w:w="0" w:type="dxa"/>
            <w:vAlign w:val="bottom"/>
          </w:tcPr>
          <w:p>
            <w:pPr>
              <w:spacing w:after="0"/>
              <w:rPr>
                <w:sz w:val="1"/>
                <w:szCs w:val="1"/>
                <w:color w:val="auto"/>
              </w:rPr>
            </w:pPr>
          </w:p>
        </w:tc>
      </w:tr>
      <w:tr>
        <w:trPr>
          <w:trHeight w:val="230"/>
        </w:trPr>
        <w:tc>
          <w:tcPr>
            <w:tcW w:w="5000" w:type="dxa"/>
            <w:vAlign w:val="bottom"/>
          </w:tcPr>
          <w:p>
            <w:pPr>
              <w:spacing w:after="0"/>
              <w:rPr>
                <w:sz w:val="20"/>
                <w:szCs w:val="20"/>
                <w:color w:val="auto"/>
              </w:rPr>
            </w:pPr>
            <w:r>
              <w:rPr>
                <w:rFonts w:ascii="Arial" w:cs="Arial" w:eastAsia="Arial" w:hAnsi="Arial"/>
                <w:sz w:val="18"/>
                <w:szCs w:val="18"/>
                <w:b w:val="1"/>
                <w:bCs w:val="1"/>
                <w:color w:val="auto"/>
              </w:rPr>
              <w:t>Total Cango Inc.’s equity</w:t>
            </w:r>
          </w:p>
        </w:tc>
        <w:tc>
          <w:tcPr>
            <w:tcW w:w="1700" w:type="dxa"/>
            <w:vAlign w:val="bottom"/>
          </w:tcPr>
          <w:p>
            <w:pPr>
              <w:spacing w:after="0"/>
              <w:rPr>
                <w:sz w:val="20"/>
                <w:szCs w:val="20"/>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8,375,209,137</w:t>
            </w:r>
          </w:p>
        </w:tc>
        <w:tc>
          <w:tcPr>
            <w:tcW w:w="220" w:type="dxa"/>
            <w:vAlign w:val="bottom"/>
          </w:tcPr>
          <w:p>
            <w:pPr>
              <w:spacing w:after="0"/>
              <w:rPr>
                <w:sz w:val="20"/>
                <w:szCs w:val="20"/>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6,951,907,229</w:t>
            </w:r>
          </w:p>
        </w:tc>
        <w:tc>
          <w:tcPr>
            <w:tcW w:w="220" w:type="dxa"/>
            <w:vAlign w:val="bottom"/>
          </w:tcPr>
          <w:p>
            <w:pPr>
              <w:spacing w:after="0"/>
              <w:rPr>
                <w:sz w:val="20"/>
                <w:szCs w:val="20"/>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1,078,919,084</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shareholders’ equity</w:t>
            </w:r>
          </w:p>
        </w:tc>
        <w:tc>
          <w:tcPr>
            <w:tcW w:w="3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8,375,209,137</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6,951,907,229</w:t>
            </w: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w w:val="92"/>
              </w:rPr>
              <w:t>1,078,919,084</w:t>
            </w:r>
          </w:p>
        </w:tc>
        <w:tc>
          <w:tcPr>
            <w:tcW w:w="0" w:type="dxa"/>
            <w:vAlign w:val="bottom"/>
          </w:tcPr>
          <w:p>
            <w:pPr>
              <w:spacing w:after="0"/>
              <w:rPr>
                <w:sz w:val="1"/>
                <w:szCs w:val="1"/>
                <w:color w:val="auto"/>
              </w:rPr>
            </w:pPr>
          </w:p>
        </w:tc>
      </w:tr>
      <w:tr>
        <w:trPr>
          <w:trHeight w:val="223"/>
        </w:trPr>
        <w:tc>
          <w:tcPr>
            <w:tcW w:w="5000" w:type="dxa"/>
            <w:vAlign w:val="bottom"/>
          </w:tcPr>
          <w:p>
            <w:pPr>
              <w:spacing w:after="0"/>
              <w:rPr>
                <w:sz w:val="20"/>
                <w:szCs w:val="20"/>
                <w:color w:val="auto"/>
              </w:rPr>
            </w:pPr>
            <w:r>
              <w:rPr>
                <w:rFonts w:ascii="Arial" w:cs="Arial" w:eastAsia="Arial" w:hAnsi="Arial"/>
                <w:sz w:val="18"/>
                <w:szCs w:val="18"/>
                <w:b w:val="1"/>
                <w:bCs w:val="1"/>
                <w:color w:val="auto"/>
              </w:rPr>
              <w:t>TOTAL LIABILITIES AND SHAREHOLDERS’ EQUITY</w:t>
            </w:r>
          </w:p>
        </w:tc>
        <w:tc>
          <w:tcPr>
            <w:tcW w:w="1700" w:type="dxa"/>
            <w:vAlign w:val="bottom"/>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12,145,932,599</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11,238,143,295</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1,744,132,488</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0" w:type="dxa"/>
            <w:vAlign w:val="bottom"/>
          </w:tcPr>
          <w:p>
            <w:pPr>
              <w:spacing w:after="0" w:line="20" w:lineRule="exact"/>
              <w:rPr>
                <w:sz w:val="1"/>
                <w:szCs w:val="1"/>
                <w:color w:val="auto"/>
              </w:rPr>
            </w:pPr>
          </w:p>
        </w:tc>
        <w:tc>
          <w:tcPr>
            <w:tcW w:w="1700" w:type="dxa"/>
            <w:vAlign w:val="bottom"/>
            <w:vMerge w:val="restart"/>
          </w:tcPr>
          <w:p>
            <w:pPr>
              <w:jc w:val="right"/>
              <w:ind w:right="1070"/>
              <w:spacing w:after="0"/>
              <w:rPr>
                <w:sz w:val="20"/>
                <w:szCs w:val="20"/>
                <w:color w:val="auto"/>
              </w:rPr>
            </w:pPr>
            <w:r>
              <w:rPr>
                <w:rFonts w:ascii="Arial" w:cs="Arial" w:eastAsia="Arial" w:hAnsi="Arial"/>
                <w:sz w:val="18"/>
                <w:szCs w:val="18"/>
                <w:color w:val="auto"/>
              </w:rPr>
              <w:t>7</w:t>
            </w:r>
          </w:p>
        </w:tc>
        <w:tc>
          <w:tcPr>
            <w:tcW w:w="15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9"/>
        </w:trPr>
        <w:tc>
          <w:tcPr>
            <w:tcW w:w="5000" w:type="dxa"/>
            <w:vAlign w:val="bottom"/>
          </w:tcPr>
          <w:p>
            <w:pPr>
              <w:spacing w:after="0"/>
              <w:rPr>
                <w:sz w:val="24"/>
                <w:szCs w:val="24"/>
                <w:color w:val="auto"/>
              </w:rPr>
            </w:pPr>
          </w:p>
        </w:tc>
        <w:tc>
          <w:tcPr>
            <w:tcW w:w="1700" w:type="dxa"/>
            <w:vAlign w:val="bottom"/>
            <w:vMerge w:val="continue"/>
          </w:tcPr>
          <w:p>
            <w:pPr>
              <w:spacing w:after="0"/>
              <w:rPr>
                <w:sz w:val="24"/>
                <w:szCs w:val="24"/>
                <w:color w:val="auto"/>
              </w:rPr>
            </w:pPr>
          </w:p>
        </w:tc>
        <w:tc>
          <w:tcPr>
            <w:tcW w:w="15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020"/>
          </w:cols>
          <w:pgMar w:left="440" w:top="270" w:right="439" w:bottom="1440" w:gutter="0" w:footer="0" w:header="0"/>
        </w:sectPr>
      </w:pPr>
    </w:p>
    <w:bookmarkStart w:id="10" w:name="page11"/>
    <w:bookmarkEnd w:id="10"/>
    <w:p>
      <w:pPr>
        <w:jc w:val="center"/>
        <w:ind w:right="2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74865" cy="38735"/>
                    </a:xfrm>
                    <a:prstGeom prst="rect">
                      <a:avLst/>
                    </a:prstGeom>
                    <a:noFill/>
                  </pic:spPr>
                </pic:pic>
              </a:graphicData>
            </a:graphic>
          </wp:anchor>
        </w:drawing>
        <w:t>CANGO INC.</w:t>
      </w:r>
    </w:p>
    <w:p>
      <w:pPr>
        <w:spacing w:after="0" w:line="27"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UNAUDITED INTERIM CONDENSED CONSOLIDATED STATEMENTS OF</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COMPREHENSIVE INCOME</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(Amounts in Renminbi (“RMB”) and US dollar (“US$”), except for number of shares and per share data)</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5060" w:type="dxa"/>
            <w:vAlign w:val="bottom"/>
          </w:tcPr>
          <w:p>
            <w:pPr>
              <w:spacing w:after="0"/>
              <w:rPr>
                <w:sz w:val="14"/>
                <w:szCs w:val="14"/>
                <w:color w:val="auto"/>
              </w:rPr>
            </w:pPr>
          </w:p>
        </w:tc>
        <w:tc>
          <w:tcPr>
            <w:tcW w:w="2800" w:type="dxa"/>
            <w:vAlign w:val="bottom"/>
            <w:tcBorders>
              <w:bottom w:val="single" w:sz="8" w:color="auto"/>
            </w:tcBorders>
            <w:gridSpan w:val="6"/>
          </w:tcPr>
          <w:p>
            <w:pPr>
              <w:jc w:val="right"/>
              <w:ind w:right="248"/>
              <w:spacing w:after="0"/>
              <w:rPr>
                <w:sz w:val="20"/>
                <w:szCs w:val="20"/>
                <w:color w:val="auto"/>
              </w:rPr>
            </w:pPr>
            <w:r>
              <w:rPr>
                <w:rFonts w:ascii="Arial" w:cs="Arial" w:eastAsia="Arial" w:hAnsi="Arial"/>
                <w:sz w:val="14"/>
                <w:szCs w:val="14"/>
                <w:b w:val="1"/>
                <w:bCs w:val="1"/>
                <w:color w:val="auto"/>
              </w:rPr>
              <w:t>Three months ended September 30,</w:t>
            </w:r>
          </w:p>
        </w:tc>
        <w:tc>
          <w:tcPr>
            <w:tcW w:w="180" w:type="dxa"/>
            <w:vAlign w:val="bottom"/>
          </w:tcPr>
          <w:p>
            <w:pPr>
              <w:spacing w:after="0"/>
              <w:rPr>
                <w:sz w:val="14"/>
                <w:szCs w:val="14"/>
                <w:color w:val="auto"/>
              </w:rPr>
            </w:pPr>
          </w:p>
        </w:tc>
        <w:tc>
          <w:tcPr>
            <w:tcW w:w="2880" w:type="dxa"/>
            <w:vAlign w:val="bottom"/>
            <w:tcBorders>
              <w:bottom w:val="single" w:sz="8" w:color="auto"/>
            </w:tcBorders>
            <w:gridSpan w:val="5"/>
          </w:tcPr>
          <w:p>
            <w:pPr>
              <w:jc w:val="right"/>
              <w:ind w:right="328"/>
              <w:spacing w:after="0"/>
              <w:rPr>
                <w:sz w:val="20"/>
                <w:szCs w:val="20"/>
                <w:color w:val="auto"/>
              </w:rPr>
            </w:pPr>
            <w:r>
              <w:rPr>
                <w:rFonts w:ascii="Arial" w:cs="Arial" w:eastAsia="Arial" w:hAnsi="Arial"/>
                <w:sz w:val="14"/>
                <w:szCs w:val="14"/>
                <w:b w:val="1"/>
                <w:bCs w:val="1"/>
                <w:color w:val="auto"/>
              </w:rPr>
              <w:t>Nine months ended September 30,</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5060" w:type="dxa"/>
            <w:vAlign w:val="bottom"/>
          </w:tcPr>
          <w:p>
            <w:pPr>
              <w:spacing w:after="0"/>
              <w:rPr>
                <w:sz w:val="10"/>
                <w:szCs w:val="10"/>
                <w:color w:val="auto"/>
              </w:rPr>
            </w:pPr>
          </w:p>
        </w:tc>
        <w:tc>
          <w:tcPr>
            <w:tcW w:w="1060" w:type="dxa"/>
            <w:vAlign w:val="bottom"/>
            <w:gridSpan w:val="3"/>
          </w:tcPr>
          <w:p>
            <w:pPr>
              <w:jc w:val="center"/>
              <w:ind w:right="180"/>
              <w:spacing w:after="0" w:line="119" w:lineRule="exact"/>
              <w:rPr>
                <w:sz w:val="20"/>
                <w:szCs w:val="20"/>
                <w:color w:val="auto"/>
              </w:rPr>
            </w:pPr>
            <w:r>
              <w:rPr>
                <w:rFonts w:ascii="Arial" w:cs="Arial" w:eastAsia="Arial" w:hAnsi="Arial"/>
                <w:sz w:val="13"/>
                <w:szCs w:val="13"/>
                <w:b w:val="1"/>
                <w:bCs w:val="1"/>
                <w:color w:val="auto"/>
                <w:w w:val="98"/>
              </w:rPr>
              <w:t>September 30,</w:t>
            </w:r>
          </w:p>
        </w:tc>
        <w:tc>
          <w:tcPr>
            <w:tcW w:w="1920" w:type="dxa"/>
            <w:vAlign w:val="bottom"/>
            <w:gridSpan w:val="4"/>
            <w:vMerge w:val="restart"/>
          </w:tcPr>
          <w:p>
            <w:pPr>
              <w:jc w:val="right"/>
              <w:ind w:right="388"/>
              <w:spacing w:after="0"/>
              <w:rPr>
                <w:sz w:val="20"/>
                <w:szCs w:val="20"/>
                <w:color w:val="auto"/>
              </w:rPr>
            </w:pPr>
            <w:r>
              <w:rPr>
                <w:rFonts w:ascii="Arial" w:cs="Arial" w:eastAsia="Arial" w:hAnsi="Arial"/>
                <w:sz w:val="14"/>
                <w:szCs w:val="14"/>
                <w:b w:val="1"/>
                <w:bCs w:val="1"/>
                <w:color w:val="auto"/>
              </w:rPr>
              <w:t>September 30, 2021</w:t>
            </w:r>
          </w:p>
        </w:tc>
        <w:tc>
          <w:tcPr>
            <w:tcW w:w="1060" w:type="dxa"/>
            <w:vAlign w:val="bottom"/>
            <w:gridSpan w:val="2"/>
          </w:tcPr>
          <w:p>
            <w:pPr>
              <w:jc w:val="center"/>
              <w:ind w:right="180"/>
              <w:spacing w:after="0" w:line="119" w:lineRule="exact"/>
              <w:rPr>
                <w:sz w:val="20"/>
                <w:szCs w:val="20"/>
                <w:color w:val="auto"/>
              </w:rPr>
            </w:pPr>
            <w:r>
              <w:rPr>
                <w:rFonts w:ascii="Arial" w:cs="Arial" w:eastAsia="Arial" w:hAnsi="Arial"/>
                <w:sz w:val="13"/>
                <w:szCs w:val="13"/>
                <w:b w:val="1"/>
                <w:bCs w:val="1"/>
                <w:color w:val="auto"/>
                <w:w w:val="98"/>
              </w:rPr>
              <w:t>September 30,</w:t>
            </w:r>
          </w:p>
        </w:tc>
        <w:tc>
          <w:tcPr>
            <w:tcW w:w="1920" w:type="dxa"/>
            <w:vAlign w:val="bottom"/>
            <w:gridSpan w:val="4"/>
            <w:vMerge w:val="restart"/>
          </w:tcPr>
          <w:p>
            <w:pPr>
              <w:jc w:val="right"/>
              <w:ind w:right="379"/>
              <w:spacing w:after="0"/>
              <w:rPr>
                <w:sz w:val="20"/>
                <w:szCs w:val="20"/>
                <w:color w:val="auto"/>
              </w:rPr>
            </w:pPr>
            <w:r>
              <w:rPr>
                <w:rFonts w:ascii="Arial" w:cs="Arial" w:eastAsia="Arial" w:hAnsi="Arial"/>
                <w:sz w:val="14"/>
                <w:szCs w:val="14"/>
                <w:b w:val="1"/>
                <w:bCs w:val="1"/>
                <w:color w:val="auto"/>
              </w:rPr>
              <w:t>September 30, 2021</w:t>
            </w:r>
          </w:p>
        </w:tc>
        <w:tc>
          <w:tcPr>
            <w:tcW w:w="0" w:type="dxa"/>
            <w:vAlign w:val="bottom"/>
          </w:tcPr>
          <w:p>
            <w:pPr>
              <w:spacing w:after="0"/>
              <w:rPr>
                <w:sz w:val="1"/>
                <w:szCs w:val="1"/>
                <w:color w:val="auto"/>
              </w:rPr>
            </w:pPr>
          </w:p>
        </w:tc>
      </w:tr>
      <w:tr>
        <w:trPr>
          <w:trHeight w:val="148"/>
        </w:trPr>
        <w:tc>
          <w:tcPr>
            <w:tcW w:w="5060" w:type="dxa"/>
            <w:vAlign w:val="bottom"/>
          </w:tcPr>
          <w:p>
            <w:pPr>
              <w:spacing w:after="0"/>
              <w:rPr>
                <w:sz w:val="12"/>
                <w:szCs w:val="12"/>
                <w:color w:val="auto"/>
              </w:rPr>
            </w:pPr>
          </w:p>
        </w:tc>
        <w:tc>
          <w:tcPr>
            <w:tcW w:w="880" w:type="dxa"/>
            <w:vAlign w:val="bottom"/>
          </w:tcPr>
          <w:p>
            <w:pPr>
              <w:jc w:val="center"/>
              <w:spacing w:after="0" w:line="149" w:lineRule="exact"/>
              <w:rPr>
                <w:sz w:val="20"/>
                <w:szCs w:val="20"/>
                <w:color w:val="auto"/>
              </w:rPr>
            </w:pPr>
            <w:r>
              <w:rPr>
                <w:rFonts w:ascii="Arial" w:cs="Arial" w:eastAsia="Arial" w:hAnsi="Arial"/>
                <w:sz w:val="14"/>
                <w:szCs w:val="14"/>
                <w:b w:val="1"/>
                <w:bCs w:val="1"/>
                <w:color w:val="auto"/>
                <w:w w:val="89"/>
              </w:rPr>
              <w:t>2020</w:t>
            </w:r>
          </w:p>
        </w:tc>
        <w:tc>
          <w:tcPr>
            <w:tcW w:w="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920" w:type="dxa"/>
            <w:vAlign w:val="bottom"/>
            <w:gridSpan w:val="4"/>
            <w:vMerge w:val="continue"/>
          </w:tcPr>
          <w:p>
            <w:pPr>
              <w:spacing w:after="0"/>
              <w:rPr>
                <w:sz w:val="12"/>
                <w:szCs w:val="12"/>
                <w:color w:val="auto"/>
              </w:rPr>
            </w:pPr>
          </w:p>
        </w:tc>
        <w:tc>
          <w:tcPr>
            <w:tcW w:w="880" w:type="dxa"/>
            <w:vAlign w:val="bottom"/>
          </w:tcPr>
          <w:p>
            <w:pPr>
              <w:jc w:val="center"/>
              <w:spacing w:after="0" w:line="149" w:lineRule="exact"/>
              <w:rPr>
                <w:sz w:val="20"/>
                <w:szCs w:val="20"/>
                <w:color w:val="auto"/>
              </w:rPr>
            </w:pPr>
            <w:r>
              <w:rPr>
                <w:rFonts w:ascii="Arial" w:cs="Arial" w:eastAsia="Arial" w:hAnsi="Arial"/>
                <w:sz w:val="14"/>
                <w:szCs w:val="14"/>
                <w:b w:val="1"/>
                <w:bCs w:val="1"/>
                <w:color w:val="auto"/>
                <w:w w:val="89"/>
              </w:rPr>
              <w:t>2020</w:t>
            </w:r>
          </w:p>
        </w:tc>
        <w:tc>
          <w:tcPr>
            <w:tcW w:w="180" w:type="dxa"/>
            <w:vAlign w:val="bottom"/>
          </w:tcPr>
          <w:p>
            <w:pPr>
              <w:spacing w:after="0"/>
              <w:rPr>
                <w:sz w:val="12"/>
                <w:szCs w:val="12"/>
                <w:color w:val="auto"/>
              </w:rPr>
            </w:pPr>
          </w:p>
        </w:tc>
        <w:tc>
          <w:tcPr>
            <w:tcW w:w="1920" w:type="dxa"/>
            <w:vAlign w:val="bottom"/>
            <w:gridSpan w:val="4"/>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71"/>
        </w:trPr>
        <w:tc>
          <w:tcPr>
            <w:tcW w:w="5060" w:type="dxa"/>
            <w:vAlign w:val="bottom"/>
          </w:tcPr>
          <w:p>
            <w:pPr>
              <w:spacing w:after="0"/>
              <w:rPr>
                <w:sz w:val="14"/>
                <w:szCs w:val="14"/>
                <w:color w:val="auto"/>
              </w:rPr>
            </w:pPr>
          </w:p>
        </w:tc>
        <w:tc>
          <w:tcPr>
            <w:tcW w:w="1060" w:type="dxa"/>
            <w:vAlign w:val="bottom"/>
            <w:gridSpan w:val="3"/>
          </w:tcPr>
          <w:p>
            <w:pPr>
              <w:jc w:val="center"/>
              <w:ind w:right="200"/>
              <w:spacing w:after="0"/>
              <w:rPr>
                <w:sz w:val="20"/>
                <w:szCs w:val="20"/>
                <w:color w:val="auto"/>
              </w:rPr>
            </w:pPr>
            <w:r>
              <w:rPr>
                <w:rFonts w:ascii="Arial" w:cs="Arial" w:eastAsia="Arial" w:hAnsi="Arial"/>
                <w:sz w:val="14"/>
                <w:szCs w:val="14"/>
                <w:b w:val="1"/>
                <w:bCs w:val="1"/>
                <w:color w:val="auto"/>
              </w:rPr>
              <w:t>RMB</w:t>
            </w:r>
          </w:p>
        </w:tc>
        <w:tc>
          <w:tcPr>
            <w:tcW w:w="980" w:type="dxa"/>
            <w:vAlign w:val="bottom"/>
            <w:gridSpan w:val="2"/>
          </w:tcPr>
          <w:p>
            <w:pPr>
              <w:jc w:val="right"/>
              <w:ind w:right="379"/>
              <w:spacing w:after="0"/>
              <w:rPr>
                <w:sz w:val="20"/>
                <w:szCs w:val="20"/>
                <w:color w:val="auto"/>
              </w:rPr>
            </w:pPr>
            <w:r>
              <w:rPr>
                <w:rFonts w:ascii="Arial" w:cs="Arial" w:eastAsia="Arial" w:hAnsi="Arial"/>
                <w:sz w:val="14"/>
                <w:szCs w:val="14"/>
                <w:b w:val="1"/>
                <w:bCs w:val="1"/>
                <w:color w:val="auto"/>
              </w:rPr>
              <w:t>RMB</w:t>
            </w:r>
          </w:p>
        </w:tc>
        <w:tc>
          <w:tcPr>
            <w:tcW w:w="940" w:type="dxa"/>
            <w:vAlign w:val="bottom"/>
            <w:gridSpan w:val="2"/>
          </w:tcPr>
          <w:p>
            <w:pPr>
              <w:jc w:val="right"/>
              <w:ind w:right="368"/>
              <w:spacing w:after="0"/>
              <w:rPr>
                <w:sz w:val="20"/>
                <w:szCs w:val="20"/>
                <w:color w:val="auto"/>
              </w:rPr>
            </w:pPr>
            <w:r>
              <w:rPr>
                <w:rFonts w:ascii="Arial" w:cs="Arial" w:eastAsia="Arial" w:hAnsi="Arial"/>
                <w:sz w:val="14"/>
                <w:szCs w:val="14"/>
                <w:b w:val="1"/>
                <w:bCs w:val="1"/>
                <w:color w:val="auto"/>
              </w:rPr>
              <w:t>US$</w:t>
            </w:r>
          </w:p>
        </w:tc>
        <w:tc>
          <w:tcPr>
            <w:tcW w:w="1060" w:type="dxa"/>
            <w:vAlign w:val="bottom"/>
            <w:gridSpan w:val="2"/>
          </w:tcPr>
          <w:p>
            <w:pPr>
              <w:jc w:val="center"/>
              <w:ind w:right="180"/>
              <w:spacing w:after="0"/>
              <w:rPr>
                <w:sz w:val="20"/>
                <w:szCs w:val="20"/>
                <w:color w:val="auto"/>
              </w:rPr>
            </w:pPr>
            <w:r>
              <w:rPr>
                <w:rFonts w:ascii="Arial" w:cs="Arial" w:eastAsia="Arial" w:hAnsi="Arial"/>
                <w:sz w:val="14"/>
                <w:szCs w:val="14"/>
                <w:b w:val="1"/>
                <w:bCs w:val="1"/>
                <w:color w:val="auto"/>
              </w:rPr>
              <w:t>RMB</w:t>
            </w:r>
          </w:p>
        </w:tc>
        <w:tc>
          <w:tcPr>
            <w:tcW w:w="1040" w:type="dxa"/>
            <w:vAlign w:val="bottom"/>
            <w:gridSpan w:val="2"/>
          </w:tcPr>
          <w:p>
            <w:pPr>
              <w:jc w:val="right"/>
              <w:ind w:right="399"/>
              <w:spacing w:after="0"/>
              <w:rPr>
                <w:sz w:val="20"/>
                <w:szCs w:val="20"/>
                <w:color w:val="auto"/>
              </w:rPr>
            </w:pPr>
            <w:r>
              <w:rPr>
                <w:rFonts w:ascii="Arial" w:cs="Arial" w:eastAsia="Arial" w:hAnsi="Arial"/>
                <w:sz w:val="14"/>
                <w:szCs w:val="14"/>
                <w:b w:val="1"/>
                <w:bCs w:val="1"/>
                <w:color w:val="auto"/>
              </w:rPr>
              <w:t>RMB</w:t>
            </w:r>
          </w:p>
        </w:tc>
        <w:tc>
          <w:tcPr>
            <w:tcW w:w="880" w:type="dxa"/>
            <w:vAlign w:val="bottom"/>
            <w:gridSpan w:val="2"/>
          </w:tcPr>
          <w:p>
            <w:pPr>
              <w:jc w:val="right"/>
              <w:ind w:right="319"/>
              <w:spacing w:after="0"/>
              <w:rPr>
                <w:sz w:val="20"/>
                <w:szCs w:val="20"/>
                <w:color w:val="auto"/>
              </w:rPr>
            </w:pPr>
            <w:r>
              <w:rPr>
                <w:rFonts w:ascii="Arial" w:cs="Arial" w:eastAsia="Arial" w:hAnsi="Arial"/>
                <w:sz w:val="14"/>
                <w:szCs w:val="14"/>
                <w:b w:val="1"/>
                <w:bCs w:val="1"/>
                <w:color w:val="auto"/>
              </w:rPr>
              <w:t>US$</w:t>
            </w:r>
          </w:p>
        </w:tc>
        <w:tc>
          <w:tcPr>
            <w:tcW w:w="0" w:type="dxa"/>
            <w:vAlign w:val="bottom"/>
          </w:tcPr>
          <w:p>
            <w:pPr>
              <w:spacing w:after="0"/>
              <w:rPr>
                <w:sz w:val="1"/>
                <w:szCs w:val="1"/>
                <w:color w:val="auto"/>
              </w:rPr>
            </w:pPr>
          </w:p>
        </w:tc>
      </w:tr>
      <w:tr>
        <w:trPr>
          <w:trHeight w:val="142"/>
        </w:trPr>
        <w:tc>
          <w:tcPr>
            <w:tcW w:w="506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Revenues</w:t>
            </w: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434,949,892</w:t>
            </w:r>
          </w:p>
        </w:tc>
        <w:tc>
          <w:tcPr>
            <w:tcW w:w="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800,634,866</w:t>
            </w:r>
          </w:p>
        </w:tc>
        <w:tc>
          <w:tcPr>
            <w:tcW w:w="18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5"/>
              </w:rPr>
              <w:t>124,256,583</w:t>
            </w:r>
          </w:p>
        </w:tc>
        <w:tc>
          <w:tcPr>
            <w:tcW w:w="18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955,002,617</w:t>
            </w:r>
          </w:p>
        </w:tc>
        <w:tc>
          <w:tcPr>
            <w:tcW w:w="18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6"/>
              </w:rPr>
              <w:t>2,871,167,788</w:t>
            </w:r>
          </w:p>
        </w:tc>
        <w:tc>
          <w:tcPr>
            <w:tcW w:w="16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7"/>
              </w:rPr>
              <w:t>445,598,254</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5060" w:type="dxa"/>
            <w:vAlign w:val="bottom"/>
          </w:tcPr>
          <w:p>
            <w:pPr>
              <w:spacing w:after="0" w:line="149" w:lineRule="exact"/>
              <w:rPr>
                <w:sz w:val="20"/>
                <w:szCs w:val="20"/>
                <w:color w:val="auto"/>
              </w:rPr>
            </w:pPr>
            <w:r>
              <w:rPr>
                <w:rFonts w:ascii="Arial" w:cs="Arial" w:eastAsia="Arial" w:hAnsi="Arial"/>
                <w:sz w:val="14"/>
                <w:szCs w:val="14"/>
                <w:color w:val="auto"/>
              </w:rPr>
              <w:t>Loan facilitation income and other related income</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230,156,995</w:t>
            </w:r>
          </w:p>
        </w:tc>
        <w:tc>
          <w:tcPr>
            <w:tcW w:w="160" w:type="dxa"/>
            <w:vAlign w:val="bottom"/>
          </w:tcPr>
          <w:p>
            <w:pPr>
              <w:spacing w:after="0"/>
              <w:rPr>
                <w:sz w:val="12"/>
                <w:szCs w:val="12"/>
                <w:color w:val="auto"/>
              </w:rPr>
            </w:pPr>
          </w:p>
        </w:tc>
        <w:tc>
          <w:tcPr>
            <w:tcW w:w="9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266,515,911</w:t>
            </w:r>
          </w:p>
        </w:tc>
        <w:tc>
          <w:tcPr>
            <w:tcW w:w="94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41,362,621</w:t>
            </w: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493,781,301</w:t>
            </w:r>
          </w:p>
        </w:tc>
        <w:tc>
          <w:tcPr>
            <w:tcW w:w="104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981,553,412</w:t>
            </w:r>
          </w:p>
        </w:tc>
        <w:tc>
          <w:tcPr>
            <w:tcW w:w="8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w w:val="97"/>
              </w:rPr>
              <w:t>152,334,701</w:t>
            </w:r>
          </w:p>
        </w:tc>
        <w:tc>
          <w:tcPr>
            <w:tcW w:w="0" w:type="dxa"/>
            <w:vAlign w:val="bottom"/>
          </w:tcPr>
          <w:p>
            <w:pPr>
              <w:spacing w:after="0"/>
              <w:rPr>
                <w:sz w:val="1"/>
                <w:szCs w:val="1"/>
                <w:color w:val="auto"/>
              </w:rPr>
            </w:pPr>
          </w:p>
        </w:tc>
      </w:tr>
      <w:tr>
        <w:trPr>
          <w:trHeight w:val="149"/>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Leasing income</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63,404,140</w:t>
            </w:r>
          </w:p>
        </w:tc>
        <w:tc>
          <w:tcPr>
            <w:tcW w:w="1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60,778,371</w:t>
            </w:r>
          </w:p>
        </w:tc>
        <w:tc>
          <w:tcPr>
            <w:tcW w:w="94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9,432,655</w:t>
            </w: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206,961,678</w:t>
            </w:r>
          </w:p>
        </w:tc>
        <w:tc>
          <w:tcPr>
            <w:tcW w:w="10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198,614,442</w:t>
            </w:r>
          </w:p>
        </w:tc>
        <w:tc>
          <w:tcPr>
            <w:tcW w:w="8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30,824,478</w:t>
            </w:r>
          </w:p>
        </w:tc>
        <w:tc>
          <w:tcPr>
            <w:tcW w:w="0" w:type="dxa"/>
            <w:vAlign w:val="bottom"/>
          </w:tcPr>
          <w:p>
            <w:pPr>
              <w:spacing w:after="0"/>
              <w:rPr>
                <w:sz w:val="1"/>
                <w:szCs w:val="1"/>
                <w:color w:val="auto"/>
              </w:rPr>
            </w:pPr>
          </w:p>
        </w:tc>
      </w:tr>
      <w:tr>
        <w:trPr>
          <w:trHeight w:val="148"/>
        </w:trPr>
        <w:tc>
          <w:tcPr>
            <w:tcW w:w="5060" w:type="dxa"/>
            <w:vAlign w:val="bottom"/>
          </w:tcPr>
          <w:p>
            <w:pPr>
              <w:spacing w:after="0" w:line="149" w:lineRule="exact"/>
              <w:rPr>
                <w:sz w:val="20"/>
                <w:szCs w:val="20"/>
                <w:color w:val="auto"/>
              </w:rPr>
            </w:pPr>
            <w:r>
              <w:rPr>
                <w:rFonts w:ascii="Arial" w:cs="Arial" w:eastAsia="Arial" w:hAnsi="Arial"/>
                <w:sz w:val="14"/>
                <w:szCs w:val="14"/>
                <w:color w:val="auto"/>
              </w:rPr>
              <w:t>After-market services income</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68,901,306</w:t>
            </w:r>
          </w:p>
        </w:tc>
        <w:tc>
          <w:tcPr>
            <w:tcW w:w="160" w:type="dxa"/>
            <w:vAlign w:val="bottom"/>
          </w:tcPr>
          <w:p>
            <w:pPr>
              <w:spacing w:after="0"/>
              <w:rPr>
                <w:sz w:val="12"/>
                <w:szCs w:val="12"/>
                <w:color w:val="auto"/>
              </w:rPr>
            </w:pPr>
          </w:p>
        </w:tc>
        <w:tc>
          <w:tcPr>
            <w:tcW w:w="9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42,658,080</w:t>
            </w:r>
          </w:p>
        </w:tc>
        <w:tc>
          <w:tcPr>
            <w:tcW w:w="94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6,620,430</w:t>
            </w: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170,430,167</w:t>
            </w:r>
          </w:p>
        </w:tc>
        <w:tc>
          <w:tcPr>
            <w:tcW w:w="104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157,053,595</w:t>
            </w:r>
          </w:p>
        </w:tc>
        <w:tc>
          <w:tcPr>
            <w:tcW w:w="8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24,374,336</w:t>
            </w:r>
          </w:p>
        </w:tc>
        <w:tc>
          <w:tcPr>
            <w:tcW w:w="0" w:type="dxa"/>
            <w:vAlign w:val="bottom"/>
          </w:tcPr>
          <w:p>
            <w:pPr>
              <w:spacing w:after="0"/>
              <w:rPr>
                <w:sz w:val="1"/>
                <w:szCs w:val="1"/>
                <w:color w:val="auto"/>
              </w:rPr>
            </w:pPr>
          </w:p>
        </w:tc>
      </w:tr>
      <w:tr>
        <w:trPr>
          <w:trHeight w:val="148"/>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Automobile trading income</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70,361,821</w:t>
            </w:r>
          </w:p>
        </w:tc>
        <w:tc>
          <w:tcPr>
            <w:tcW w:w="1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429,200,614</w:t>
            </w:r>
          </w:p>
        </w:tc>
        <w:tc>
          <w:tcPr>
            <w:tcW w:w="94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66,610,891</w:t>
            </w: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77,963,237</w:t>
            </w:r>
          </w:p>
        </w:tc>
        <w:tc>
          <w:tcPr>
            <w:tcW w:w="10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w w:val="96"/>
              </w:rPr>
              <w:t>1,523,310,471</w:t>
            </w:r>
          </w:p>
        </w:tc>
        <w:tc>
          <w:tcPr>
            <w:tcW w:w="8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w w:val="97"/>
              </w:rPr>
              <w:t>236,414,078</w:t>
            </w:r>
          </w:p>
        </w:tc>
        <w:tc>
          <w:tcPr>
            <w:tcW w:w="0" w:type="dxa"/>
            <w:vAlign w:val="bottom"/>
          </w:tcPr>
          <w:p>
            <w:pPr>
              <w:spacing w:after="0"/>
              <w:rPr>
                <w:sz w:val="1"/>
                <w:szCs w:val="1"/>
                <w:color w:val="auto"/>
              </w:rPr>
            </w:pPr>
          </w:p>
        </w:tc>
      </w:tr>
      <w:tr>
        <w:trPr>
          <w:trHeight w:val="148"/>
        </w:trPr>
        <w:tc>
          <w:tcPr>
            <w:tcW w:w="5060" w:type="dxa"/>
            <w:vAlign w:val="bottom"/>
          </w:tcPr>
          <w:p>
            <w:pPr>
              <w:spacing w:after="0" w:line="149" w:lineRule="exact"/>
              <w:rPr>
                <w:sz w:val="20"/>
                <w:szCs w:val="20"/>
                <w:color w:val="auto"/>
              </w:rPr>
            </w:pPr>
            <w:r>
              <w:rPr>
                <w:rFonts w:ascii="Arial" w:cs="Arial" w:eastAsia="Arial" w:hAnsi="Arial"/>
                <w:sz w:val="14"/>
                <w:szCs w:val="14"/>
                <w:color w:val="auto"/>
              </w:rPr>
              <w:t>Others</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2,125,630</w:t>
            </w:r>
          </w:p>
        </w:tc>
        <w:tc>
          <w:tcPr>
            <w:tcW w:w="160" w:type="dxa"/>
            <w:vAlign w:val="bottom"/>
          </w:tcPr>
          <w:p>
            <w:pPr>
              <w:spacing w:after="0"/>
              <w:rPr>
                <w:sz w:val="12"/>
                <w:szCs w:val="12"/>
                <w:color w:val="auto"/>
              </w:rPr>
            </w:pPr>
          </w:p>
        </w:tc>
        <w:tc>
          <w:tcPr>
            <w:tcW w:w="9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1,481,890</w:t>
            </w:r>
          </w:p>
        </w:tc>
        <w:tc>
          <w:tcPr>
            <w:tcW w:w="94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229,986</w:t>
            </w: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5,866,234</w:t>
            </w:r>
          </w:p>
        </w:tc>
        <w:tc>
          <w:tcPr>
            <w:tcW w:w="104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10,635,868</w:t>
            </w:r>
          </w:p>
        </w:tc>
        <w:tc>
          <w:tcPr>
            <w:tcW w:w="8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1,650,661</w:t>
            </w:r>
          </w:p>
        </w:tc>
        <w:tc>
          <w:tcPr>
            <w:tcW w:w="0" w:type="dxa"/>
            <w:vAlign w:val="bottom"/>
          </w:tcPr>
          <w:p>
            <w:pPr>
              <w:spacing w:after="0"/>
              <w:rPr>
                <w:sz w:val="1"/>
                <w:szCs w:val="1"/>
                <w:color w:val="auto"/>
              </w:rPr>
            </w:pPr>
          </w:p>
        </w:tc>
      </w:tr>
      <w:tr>
        <w:trPr>
          <w:trHeight w:val="148"/>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Operating cost and expenses:</w:t>
            </w:r>
          </w:p>
        </w:tc>
        <w:tc>
          <w:tcPr>
            <w:tcW w:w="8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5060" w:type="dxa"/>
            <w:vAlign w:val="bottom"/>
          </w:tcPr>
          <w:p>
            <w:pPr>
              <w:spacing w:after="0" w:line="149" w:lineRule="exact"/>
              <w:rPr>
                <w:sz w:val="20"/>
                <w:szCs w:val="20"/>
                <w:color w:val="auto"/>
              </w:rPr>
            </w:pPr>
            <w:r>
              <w:rPr>
                <w:rFonts w:ascii="Arial" w:cs="Arial" w:eastAsia="Arial" w:hAnsi="Arial"/>
                <w:sz w:val="14"/>
                <w:szCs w:val="14"/>
                <w:color w:val="auto"/>
              </w:rPr>
              <w:t>Cost of revenue</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180,871,289</w:t>
            </w:r>
          </w:p>
        </w:tc>
        <w:tc>
          <w:tcPr>
            <w:tcW w:w="160" w:type="dxa"/>
            <w:vAlign w:val="bottom"/>
          </w:tcPr>
          <w:p>
            <w:pPr>
              <w:spacing w:after="0"/>
              <w:rPr>
                <w:sz w:val="12"/>
                <w:szCs w:val="12"/>
                <w:color w:val="auto"/>
              </w:rPr>
            </w:pPr>
          </w:p>
        </w:tc>
        <w:tc>
          <w:tcPr>
            <w:tcW w:w="9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610,508,451</w:t>
            </w:r>
          </w:p>
        </w:tc>
        <w:tc>
          <w:tcPr>
            <w:tcW w:w="94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94,749,426</w:t>
            </w: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374,286,048</w:t>
            </w:r>
          </w:p>
        </w:tc>
        <w:tc>
          <w:tcPr>
            <w:tcW w:w="104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w w:val="96"/>
              </w:rPr>
              <w:t>2,077,342,112</w:t>
            </w:r>
          </w:p>
        </w:tc>
        <w:tc>
          <w:tcPr>
            <w:tcW w:w="8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w w:val="97"/>
              </w:rPr>
              <w:t>322,398,441</w:t>
            </w:r>
          </w:p>
        </w:tc>
        <w:tc>
          <w:tcPr>
            <w:tcW w:w="0" w:type="dxa"/>
            <w:vAlign w:val="bottom"/>
          </w:tcPr>
          <w:p>
            <w:pPr>
              <w:spacing w:after="0"/>
              <w:rPr>
                <w:sz w:val="1"/>
                <w:szCs w:val="1"/>
                <w:color w:val="auto"/>
              </w:rPr>
            </w:pPr>
          </w:p>
        </w:tc>
      </w:tr>
      <w:tr>
        <w:trPr>
          <w:trHeight w:val="149"/>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Sales and marketing</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41,852,916</w:t>
            </w:r>
          </w:p>
        </w:tc>
        <w:tc>
          <w:tcPr>
            <w:tcW w:w="1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46,793,061</w:t>
            </w:r>
          </w:p>
        </w:tc>
        <w:tc>
          <w:tcPr>
            <w:tcW w:w="94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7,262,169</w:t>
            </w: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130,065,097</w:t>
            </w:r>
          </w:p>
        </w:tc>
        <w:tc>
          <w:tcPr>
            <w:tcW w:w="10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165,522,339</w:t>
            </w:r>
          </w:p>
        </w:tc>
        <w:tc>
          <w:tcPr>
            <w:tcW w:w="8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25,688,664</w:t>
            </w:r>
          </w:p>
        </w:tc>
        <w:tc>
          <w:tcPr>
            <w:tcW w:w="0" w:type="dxa"/>
            <w:vAlign w:val="bottom"/>
          </w:tcPr>
          <w:p>
            <w:pPr>
              <w:spacing w:after="0"/>
              <w:rPr>
                <w:sz w:val="1"/>
                <w:szCs w:val="1"/>
                <w:color w:val="auto"/>
              </w:rPr>
            </w:pPr>
          </w:p>
        </w:tc>
      </w:tr>
      <w:tr>
        <w:trPr>
          <w:trHeight w:val="148"/>
        </w:trPr>
        <w:tc>
          <w:tcPr>
            <w:tcW w:w="5060" w:type="dxa"/>
            <w:vAlign w:val="bottom"/>
          </w:tcPr>
          <w:p>
            <w:pPr>
              <w:spacing w:after="0" w:line="149" w:lineRule="exact"/>
              <w:rPr>
                <w:sz w:val="20"/>
                <w:szCs w:val="20"/>
                <w:color w:val="auto"/>
              </w:rPr>
            </w:pPr>
            <w:r>
              <w:rPr>
                <w:rFonts w:ascii="Arial" w:cs="Arial" w:eastAsia="Arial" w:hAnsi="Arial"/>
                <w:sz w:val="14"/>
                <w:szCs w:val="14"/>
                <w:color w:val="auto"/>
              </w:rPr>
              <w:t>General and administrative</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52,154,925</w:t>
            </w:r>
          </w:p>
        </w:tc>
        <w:tc>
          <w:tcPr>
            <w:tcW w:w="160" w:type="dxa"/>
            <w:vAlign w:val="bottom"/>
          </w:tcPr>
          <w:p>
            <w:pPr>
              <w:spacing w:after="0"/>
              <w:rPr>
                <w:sz w:val="12"/>
                <w:szCs w:val="12"/>
                <w:color w:val="auto"/>
              </w:rPr>
            </w:pPr>
          </w:p>
        </w:tc>
        <w:tc>
          <w:tcPr>
            <w:tcW w:w="9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64,038,373</w:t>
            </w:r>
          </w:p>
        </w:tc>
        <w:tc>
          <w:tcPr>
            <w:tcW w:w="94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9,938,600</w:t>
            </w: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175,606,783</w:t>
            </w:r>
          </w:p>
        </w:tc>
        <w:tc>
          <w:tcPr>
            <w:tcW w:w="104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190,087,348</w:t>
            </w:r>
          </w:p>
        </w:tc>
        <w:tc>
          <w:tcPr>
            <w:tcW w:w="8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29,501,094</w:t>
            </w:r>
          </w:p>
        </w:tc>
        <w:tc>
          <w:tcPr>
            <w:tcW w:w="0" w:type="dxa"/>
            <w:vAlign w:val="bottom"/>
          </w:tcPr>
          <w:p>
            <w:pPr>
              <w:spacing w:after="0"/>
              <w:rPr>
                <w:sz w:val="1"/>
                <w:szCs w:val="1"/>
                <w:color w:val="auto"/>
              </w:rPr>
            </w:pPr>
          </w:p>
        </w:tc>
      </w:tr>
      <w:tr>
        <w:trPr>
          <w:trHeight w:val="148"/>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Research and development</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14,151,770</w:t>
            </w:r>
          </w:p>
        </w:tc>
        <w:tc>
          <w:tcPr>
            <w:tcW w:w="1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17,423,683</w:t>
            </w:r>
          </w:p>
        </w:tc>
        <w:tc>
          <w:tcPr>
            <w:tcW w:w="94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2,704,113</w:t>
            </w: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39,610,068</w:t>
            </w:r>
          </w:p>
        </w:tc>
        <w:tc>
          <w:tcPr>
            <w:tcW w:w="10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46,656,813</w:t>
            </w:r>
          </w:p>
        </w:tc>
        <w:tc>
          <w:tcPr>
            <w:tcW w:w="8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7,241,024</w:t>
            </w:r>
          </w:p>
        </w:tc>
        <w:tc>
          <w:tcPr>
            <w:tcW w:w="0" w:type="dxa"/>
            <w:vAlign w:val="bottom"/>
          </w:tcPr>
          <w:p>
            <w:pPr>
              <w:spacing w:after="0"/>
              <w:rPr>
                <w:sz w:val="1"/>
                <w:szCs w:val="1"/>
                <w:color w:val="auto"/>
              </w:rPr>
            </w:pPr>
          </w:p>
        </w:tc>
      </w:tr>
      <w:tr>
        <w:trPr>
          <w:trHeight w:val="148"/>
        </w:trPr>
        <w:tc>
          <w:tcPr>
            <w:tcW w:w="5060" w:type="dxa"/>
            <w:vAlign w:val="bottom"/>
          </w:tcPr>
          <w:p>
            <w:pPr>
              <w:spacing w:after="0" w:line="149" w:lineRule="exact"/>
              <w:rPr>
                <w:sz w:val="20"/>
                <w:szCs w:val="20"/>
                <w:color w:val="auto"/>
              </w:rPr>
            </w:pPr>
            <w:r>
              <w:rPr>
                <w:rFonts w:ascii="Arial" w:cs="Arial" w:eastAsia="Arial" w:hAnsi="Arial"/>
                <w:sz w:val="14"/>
                <w:szCs w:val="14"/>
                <w:color w:val="auto"/>
              </w:rPr>
              <w:t>Net (gain) loss on risk assurance liabilities</w:t>
            </w:r>
          </w:p>
        </w:tc>
        <w:tc>
          <w:tcPr>
            <w:tcW w:w="106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(12,885,280)</w:t>
            </w:r>
          </w:p>
        </w:tc>
        <w:tc>
          <w:tcPr>
            <w:tcW w:w="9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55,504,598</w:t>
            </w:r>
          </w:p>
        </w:tc>
        <w:tc>
          <w:tcPr>
            <w:tcW w:w="94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8,614,179</w:t>
            </w: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21,072,204</w:t>
            </w:r>
          </w:p>
        </w:tc>
        <w:tc>
          <w:tcPr>
            <w:tcW w:w="104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113,147,363</w:t>
            </w:r>
          </w:p>
        </w:tc>
        <w:tc>
          <w:tcPr>
            <w:tcW w:w="8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17,560,195</w:t>
            </w:r>
          </w:p>
        </w:tc>
        <w:tc>
          <w:tcPr>
            <w:tcW w:w="0" w:type="dxa"/>
            <w:vAlign w:val="bottom"/>
          </w:tcPr>
          <w:p>
            <w:pPr>
              <w:spacing w:after="0"/>
              <w:rPr>
                <w:sz w:val="1"/>
                <w:szCs w:val="1"/>
                <w:color w:val="auto"/>
              </w:rPr>
            </w:pPr>
          </w:p>
        </w:tc>
      </w:tr>
      <w:tr>
        <w:trPr>
          <w:trHeight w:val="148"/>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Provision for credit losses</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24,287,059</w:t>
            </w:r>
          </w:p>
        </w:tc>
        <w:tc>
          <w:tcPr>
            <w:tcW w:w="1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45,373,233</w:t>
            </w:r>
          </w:p>
        </w:tc>
        <w:tc>
          <w:tcPr>
            <w:tcW w:w="94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7,041,815</w:t>
            </w: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94,501,601</w:t>
            </w:r>
          </w:p>
        </w:tc>
        <w:tc>
          <w:tcPr>
            <w:tcW w:w="10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144,641,366</w:t>
            </w:r>
          </w:p>
        </w:tc>
        <w:tc>
          <w:tcPr>
            <w:tcW w:w="8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22,447,988</w:t>
            </w:r>
          </w:p>
        </w:tc>
        <w:tc>
          <w:tcPr>
            <w:tcW w:w="0" w:type="dxa"/>
            <w:vAlign w:val="bottom"/>
          </w:tcPr>
          <w:p>
            <w:pPr>
              <w:spacing w:after="0"/>
              <w:rPr>
                <w:sz w:val="1"/>
                <w:szCs w:val="1"/>
                <w:color w:val="auto"/>
              </w:rPr>
            </w:pPr>
          </w:p>
        </w:tc>
      </w:tr>
      <w:tr>
        <w:trPr>
          <w:trHeight w:val="156"/>
        </w:trPr>
        <w:tc>
          <w:tcPr>
            <w:tcW w:w="5060" w:type="dxa"/>
            <w:vAlign w:val="bottom"/>
          </w:tcPr>
          <w:p>
            <w:pPr>
              <w:spacing w:after="0" w:line="155" w:lineRule="exact"/>
              <w:rPr>
                <w:sz w:val="20"/>
                <w:szCs w:val="20"/>
                <w:color w:val="auto"/>
              </w:rPr>
            </w:pPr>
            <w:r>
              <w:rPr>
                <w:rFonts w:ascii="Arial" w:cs="Arial" w:eastAsia="Arial" w:hAnsi="Arial"/>
                <w:sz w:val="14"/>
                <w:szCs w:val="14"/>
                <w:b w:val="1"/>
                <w:bCs w:val="1"/>
                <w:color w:val="auto"/>
              </w:rPr>
              <w:t>Total operation cost and expense</w:t>
            </w:r>
          </w:p>
        </w:tc>
        <w:tc>
          <w:tcPr>
            <w:tcW w:w="8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300,432,679</w:t>
            </w:r>
          </w:p>
        </w:tc>
        <w:tc>
          <w:tcPr>
            <w:tcW w:w="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839,641,399</w:t>
            </w:r>
          </w:p>
        </w:tc>
        <w:tc>
          <w:tcPr>
            <w:tcW w:w="180" w:type="dxa"/>
            <w:vAlign w:val="bottom"/>
          </w:tcPr>
          <w:p>
            <w:pPr>
              <w:spacing w:after="0"/>
              <w:rPr>
                <w:sz w:val="13"/>
                <w:szCs w:val="13"/>
                <w:color w:val="auto"/>
              </w:rPr>
            </w:pPr>
          </w:p>
        </w:tc>
        <w:tc>
          <w:tcPr>
            <w:tcW w:w="7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95"/>
              </w:rPr>
              <w:t>130,310,302</w:t>
            </w:r>
          </w:p>
        </w:tc>
        <w:tc>
          <w:tcPr>
            <w:tcW w:w="180" w:type="dxa"/>
            <w:vAlign w:val="bottom"/>
          </w:tcPr>
          <w:p>
            <w:pPr>
              <w:spacing w:after="0"/>
              <w:rPr>
                <w:sz w:val="13"/>
                <w:szCs w:val="13"/>
                <w:color w:val="auto"/>
              </w:rPr>
            </w:pPr>
          </w:p>
        </w:tc>
        <w:tc>
          <w:tcPr>
            <w:tcW w:w="8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835,141,801</w:t>
            </w:r>
          </w:p>
        </w:tc>
        <w:tc>
          <w:tcPr>
            <w:tcW w:w="180" w:type="dxa"/>
            <w:vAlign w:val="bottom"/>
          </w:tcPr>
          <w:p>
            <w:pPr>
              <w:spacing w:after="0"/>
              <w:rPr>
                <w:sz w:val="13"/>
                <w:szCs w:val="13"/>
                <w:color w:val="auto"/>
              </w:rPr>
            </w:pPr>
          </w:p>
        </w:tc>
        <w:tc>
          <w:tcPr>
            <w:tcW w:w="8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96"/>
              </w:rPr>
              <w:t>2,737,397,341</w:t>
            </w:r>
          </w:p>
        </w:tc>
        <w:tc>
          <w:tcPr>
            <w:tcW w:w="16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97"/>
              </w:rPr>
              <w:t>424,837,406</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506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3"/>
        </w:trPr>
        <w:tc>
          <w:tcPr>
            <w:tcW w:w="5060" w:type="dxa"/>
            <w:vAlign w:val="bottom"/>
            <w:shd w:val="clear" w:color="auto" w:fill="CCEEFF"/>
          </w:tcPr>
          <w:p>
            <w:pPr>
              <w:spacing w:after="0" w:line="143" w:lineRule="exact"/>
              <w:rPr>
                <w:sz w:val="20"/>
                <w:szCs w:val="20"/>
                <w:color w:val="auto"/>
              </w:rPr>
            </w:pPr>
            <w:r>
              <w:rPr>
                <w:rFonts w:ascii="Arial" w:cs="Arial" w:eastAsia="Arial" w:hAnsi="Arial"/>
                <w:sz w:val="14"/>
                <w:szCs w:val="14"/>
                <w:b w:val="1"/>
                <w:bCs w:val="1"/>
                <w:color w:val="auto"/>
              </w:rPr>
              <w:t>Income (Loss) from operations</w:t>
            </w:r>
          </w:p>
        </w:tc>
        <w:tc>
          <w:tcPr>
            <w:tcW w:w="900" w:type="dxa"/>
            <w:vAlign w:val="bottom"/>
            <w:gridSpan w:val="2"/>
            <w:shd w:val="clear" w:color="auto" w:fill="CCEEFF"/>
          </w:tcPr>
          <w:p>
            <w:pPr>
              <w:jc w:val="right"/>
              <w:spacing w:after="0" w:line="143" w:lineRule="exact"/>
              <w:rPr>
                <w:sz w:val="20"/>
                <w:szCs w:val="20"/>
                <w:color w:val="auto"/>
              </w:rPr>
            </w:pPr>
            <w:r>
              <w:rPr>
                <w:rFonts w:ascii="Arial" w:cs="Arial" w:eastAsia="Arial" w:hAnsi="Arial"/>
                <w:sz w:val="14"/>
                <w:szCs w:val="14"/>
                <w:b w:val="1"/>
                <w:bCs w:val="1"/>
                <w:color w:val="auto"/>
              </w:rPr>
              <w:t>134,517,213</w:t>
            </w:r>
          </w:p>
        </w:tc>
        <w:tc>
          <w:tcPr>
            <w:tcW w:w="1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99"/>
              <w:spacing w:after="0" w:line="143" w:lineRule="exact"/>
              <w:rPr>
                <w:sz w:val="20"/>
                <w:szCs w:val="20"/>
                <w:color w:val="auto"/>
              </w:rPr>
            </w:pPr>
            <w:r>
              <w:rPr>
                <w:rFonts w:ascii="Arial" w:cs="Arial" w:eastAsia="Arial" w:hAnsi="Arial"/>
                <w:sz w:val="14"/>
                <w:szCs w:val="14"/>
                <w:b w:val="1"/>
                <w:bCs w:val="1"/>
                <w:color w:val="auto"/>
              </w:rPr>
              <w:t>(39,006,533)</w:t>
            </w:r>
          </w:p>
        </w:tc>
        <w:tc>
          <w:tcPr>
            <w:tcW w:w="940" w:type="dxa"/>
            <w:vAlign w:val="bottom"/>
            <w:gridSpan w:val="2"/>
            <w:shd w:val="clear" w:color="auto" w:fill="CCEEFF"/>
          </w:tcPr>
          <w:p>
            <w:pPr>
              <w:jc w:val="right"/>
              <w:ind w:right="48"/>
              <w:spacing w:after="0" w:line="143" w:lineRule="exact"/>
              <w:rPr>
                <w:sz w:val="20"/>
                <w:szCs w:val="20"/>
                <w:color w:val="auto"/>
              </w:rPr>
            </w:pPr>
            <w:r>
              <w:rPr>
                <w:rFonts w:ascii="Arial" w:cs="Arial" w:eastAsia="Arial" w:hAnsi="Arial"/>
                <w:sz w:val="14"/>
                <w:szCs w:val="14"/>
                <w:b w:val="1"/>
                <w:bCs w:val="1"/>
                <w:color w:val="auto"/>
              </w:rPr>
              <w:t>(6,053,719)</w:t>
            </w:r>
          </w:p>
        </w:tc>
        <w:tc>
          <w:tcPr>
            <w:tcW w:w="1060" w:type="dxa"/>
            <w:vAlign w:val="bottom"/>
            <w:gridSpan w:val="2"/>
            <w:shd w:val="clear" w:color="auto" w:fill="CCEEFF"/>
          </w:tcPr>
          <w:p>
            <w:pPr>
              <w:jc w:val="right"/>
              <w:ind w:right="180"/>
              <w:spacing w:after="0" w:line="143" w:lineRule="exact"/>
              <w:rPr>
                <w:sz w:val="20"/>
                <w:szCs w:val="20"/>
                <w:color w:val="auto"/>
              </w:rPr>
            </w:pPr>
            <w:r>
              <w:rPr>
                <w:rFonts w:ascii="Arial" w:cs="Arial" w:eastAsia="Arial" w:hAnsi="Arial"/>
                <w:sz w:val="14"/>
                <w:szCs w:val="14"/>
                <w:b w:val="1"/>
                <w:bCs w:val="1"/>
                <w:color w:val="auto"/>
              </w:rPr>
              <w:t>119,860,816</w:t>
            </w:r>
          </w:p>
        </w:tc>
        <w:tc>
          <w:tcPr>
            <w:tcW w:w="1040" w:type="dxa"/>
            <w:vAlign w:val="bottom"/>
            <w:gridSpan w:val="2"/>
            <w:shd w:val="clear" w:color="auto" w:fill="CCEEFF"/>
          </w:tcPr>
          <w:p>
            <w:pPr>
              <w:jc w:val="right"/>
              <w:ind w:right="119"/>
              <w:spacing w:after="0" w:line="143" w:lineRule="exact"/>
              <w:rPr>
                <w:sz w:val="20"/>
                <w:szCs w:val="20"/>
                <w:color w:val="auto"/>
              </w:rPr>
            </w:pPr>
            <w:r>
              <w:rPr>
                <w:rFonts w:ascii="Arial" w:cs="Arial" w:eastAsia="Arial" w:hAnsi="Arial"/>
                <w:sz w:val="14"/>
                <w:szCs w:val="14"/>
                <w:b w:val="1"/>
                <w:bCs w:val="1"/>
                <w:color w:val="auto"/>
              </w:rPr>
              <w:t>133,770,447</w:t>
            </w:r>
          </w:p>
        </w:tc>
        <w:tc>
          <w:tcPr>
            <w:tcW w:w="880" w:type="dxa"/>
            <w:vAlign w:val="bottom"/>
            <w:gridSpan w:val="2"/>
            <w:shd w:val="clear" w:color="auto" w:fill="CCEEFF"/>
          </w:tcPr>
          <w:p>
            <w:pPr>
              <w:jc w:val="right"/>
              <w:ind w:right="59"/>
              <w:spacing w:after="0" w:line="143" w:lineRule="exact"/>
              <w:rPr>
                <w:sz w:val="20"/>
                <w:szCs w:val="20"/>
                <w:color w:val="auto"/>
              </w:rPr>
            </w:pPr>
            <w:r>
              <w:rPr>
                <w:rFonts w:ascii="Arial" w:cs="Arial" w:eastAsia="Arial" w:hAnsi="Arial"/>
                <w:sz w:val="14"/>
                <w:szCs w:val="14"/>
                <w:b w:val="1"/>
                <w:bCs w:val="1"/>
                <w:color w:val="auto"/>
              </w:rPr>
              <w:t>20,760,848</w:t>
            </w:r>
          </w:p>
        </w:tc>
        <w:tc>
          <w:tcPr>
            <w:tcW w:w="0" w:type="dxa"/>
            <w:vAlign w:val="bottom"/>
          </w:tcPr>
          <w:p>
            <w:pPr>
              <w:spacing w:after="0"/>
              <w:rPr>
                <w:sz w:val="1"/>
                <w:szCs w:val="1"/>
                <w:color w:val="auto"/>
              </w:rPr>
            </w:pPr>
          </w:p>
        </w:tc>
      </w:tr>
      <w:tr>
        <w:trPr>
          <w:trHeight w:val="156"/>
        </w:trPr>
        <w:tc>
          <w:tcPr>
            <w:tcW w:w="5060" w:type="dxa"/>
            <w:vAlign w:val="bottom"/>
          </w:tcPr>
          <w:p>
            <w:pPr>
              <w:spacing w:after="0" w:line="155" w:lineRule="exact"/>
              <w:rPr>
                <w:sz w:val="20"/>
                <w:szCs w:val="20"/>
                <w:color w:val="auto"/>
              </w:rPr>
            </w:pPr>
            <w:r>
              <w:rPr>
                <w:rFonts w:ascii="Arial" w:cs="Arial" w:eastAsia="Arial" w:hAnsi="Arial"/>
                <w:sz w:val="14"/>
                <w:szCs w:val="14"/>
                <w:color w:val="auto"/>
              </w:rPr>
              <w:t>Interest and investment income</w:t>
            </w:r>
          </w:p>
        </w:tc>
        <w:tc>
          <w:tcPr>
            <w:tcW w:w="8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color w:val="auto"/>
              </w:rPr>
              <w:t>9,875,421</w:t>
            </w:r>
          </w:p>
        </w:tc>
        <w:tc>
          <w:tcPr>
            <w:tcW w:w="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0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color w:val="auto"/>
              </w:rPr>
              <w:t>14,853,381</w:t>
            </w:r>
          </w:p>
        </w:tc>
        <w:tc>
          <w:tcPr>
            <w:tcW w:w="180" w:type="dxa"/>
            <w:vAlign w:val="bottom"/>
          </w:tcPr>
          <w:p>
            <w:pPr>
              <w:spacing w:after="0"/>
              <w:rPr>
                <w:sz w:val="13"/>
                <w:szCs w:val="13"/>
                <w:color w:val="auto"/>
              </w:rPr>
            </w:pPr>
          </w:p>
        </w:tc>
        <w:tc>
          <w:tcPr>
            <w:tcW w:w="76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color w:val="auto"/>
              </w:rPr>
              <w:t>2,305,209</w:t>
            </w:r>
          </w:p>
        </w:tc>
        <w:tc>
          <w:tcPr>
            <w:tcW w:w="180" w:type="dxa"/>
            <w:vAlign w:val="bottom"/>
          </w:tcPr>
          <w:p>
            <w:pPr>
              <w:spacing w:after="0"/>
              <w:rPr>
                <w:sz w:val="13"/>
                <w:szCs w:val="13"/>
                <w:color w:val="auto"/>
              </w:rPr>
            </w:pPr>
          </w:p>
        </w:tc>
        <w:tc>
          <w:tcPr>
            <w:tcW w:w="8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color w:val="auto"/>
              </w:rPr>
              <w:t>60,683,716</w:t>
            </w:r>
          </w:p>
        </w:tc>
        <w:tc>
          <w:tcPr>
            <w:tcW w:w="180" w:type="dxa"/>
            <w:vAlign w:val="bottom"/>
          </w:tcPr>
          <w:p>
            <w:pPr>
              <w:spacing w:after="0"/>
              <w:rPr>
                <w:sz w:val="13"/>
                <w:szCs w:val="13"/>
                <w:color w:val="auto"/>
              </w:rPr>
            </w:pPr>
          </w:p>
        </w:tc>
        <w:tc>
          <w:tcPr>
            <w:tcW w:w="8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color w:val="auto"/>
              </w:rPr>
              <w:t>37,222,389</w:t>
            </w:r>
          </w:p>
        </w:tc>
        <w:tc>
          <w:tcPr>
            <w:tcW w:w="160" w:type="dxa"/>
            <w:vAlign w:val="bottom"/>
          </w:tcPr>
          <w:p>
            <w:pPr>
              <w:spacing w:after="0"/>
              <w:rPr>
                <w:sz w:val="13"/>
                <w:szCs w:val="13"/>
                <w:color w:val="auto"/>
              </w:rPr>
            </w:pPr>
          </w:p>
        </w:tc>
        <w:tc>
          <w:tcPr>
            <w:tcW w:w="7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color w:val="auto"/>
              </w:rPr>
              <w:t>5,776,824</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8"/>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Fair value change of equity investment</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w w:val="96"/>
              </w:rPr>
              <w:t>1,827,718,488</w:t>
            </w:r>
          </w:p>
        </w:tc>
        <w:tc>
          <w:tcPr>
            <w:tcW w:w="1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99"/>
              <w:spacing w:after="0" w:line="149" w:lineRule="exact"/>
              <w:rPr>
                <w:sz w:val="20"/>
                <w:szCs w:val="20"/>
                <w:color w:val="auto"/>
              </w:rPr>
            </w:pPr>
            <w:r>
              <w:rPr>
                <w:rFonts w:ascii="Arial" w:cs="Arial" w:eastAsia="Arial" w:hAnsi="Arial"/>
                <w:sz w:val="14"/>
                <w:szCs w:val="14"/>
                <w:color w:val="auto"/>
                <w:w w:val="94"/>
              </w:rPr>
              <w:t>(447,536,895)</w:t>
            </w:r>
          </w:p>
        </w:tc>
        <w:tc>
          <w:tcPr>
            <w:tcW w:w="94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w w:val="98"/>
              </w:rPr>
              <w:t>-69,456,637</w:t>
            </w: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w w:val="96"/>
              </w:rPr>
              <w:t>1,827,718,488</w:t>
            </w:r>
          </w:p>
        </w:tc>
        <w:tc>
          <w:tcPr>
            <w:tcW w:w="104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(291,048,883)</w:t>
            </w:r>
          </w:p>
        </w:tc>
        <w:tc>
          <w:tcPr>
            <w:tcW w:w="88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(45,170,078)</w:t>
            </w:r>
          </w:p>
        </w:tc>
        <w:tc>
          <w:tcPr>
            <w:tcW w:w="0" w:type="dxa"/>
            <w:vAlign w:val="bottom"/>
          </w:tcPr>
          <w:p>
            <w:pPr>
              <w:spacing w:after="0"/>
              <w:rPr>
                <w:sz w:val="1"/>
                <w:szCs w:val="1"/>
                <w:color w:val="auto"/>
              </w:rPr>
            </w:pPr>
          </w:p>
        </w:tc>
      </w:tr>
      <w:tr>
        <w:trPr>
          <w:trHeight w:val="148"/>
        </w:trPr>
        <w:tc>
          <w:tcPr>
            <w:tcW w:w="5060" w:type="dxa"/>
            <w:vAlign w:val="bottom"/>
          </w:tcPr>
          <w:p>
            <w:pPr>
              <w:spacing w:after="0" w:line="149" w:lineRule="exact"/>
              <w:rPr>
                <w:sz w:val="20"/>
                <w:szCs w:val="20"/>
                <w:color w:val="auto"/>
              </w:rPr>
            </w:pPr>
            <w:r>
              <w:rPr>
                <w:rFonts w:ascii="Arial" w:cs="Arial" w:eastAsia="Arial" w:hAnsi="Arial"/>
                <w:sz w:val="14"/>
                <w:szCs w:val="14"/>
                <w:color w:val="auto"/>
              </w:rPr>
              <w:t>Interest expense</w:t>
            </w:r>
          </w:p>
        </w:tc>
        <w:tc>
          <w:tcPr>
            <w:tcW w:w="106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(513,622)</w:t>
            </w:r>
          </w:p>
        </w:tc>
        <w:tc>
          <w:tcPr>
            <w:tcW w:w="980" w:type="dxa"/>
            <w:vAlign w:val="bottom"/>
            <w:gridSpan w:val="2"/>
          </w:tcPr>
          <w:p>
            <w:pPr>
              <w:jc w:val="right"/>
              <w:ind w:right="99"/>
              <w:spacing w:after="0" w:line="149" w:lineRule="exact"/>
              <w:rPr>
                <w:sz w:val="20"/>
                <w:szCs w:val="20"/>
                <w:color w:val="auto"/>
              </w:rPr>
            </w:pPr>
            <w:r>
              <w:rPr>
                <w:rFonts w:ascii="Arial" w:cs="Arial" w:eastAsia="Arial" w:hAnsi="Arial"/>
                <w:sz w:val="14"/>
                <w:szCs w:val="14"/>
                <w:color w:val="auto"/>
              </w:rPr>
              <w:t>(8,320,463)</w:t>
            </w:r>
          </w:p>
        </w:tc>
        <w:tc>
          <w:tcPr>
            <w:tcW w:w="94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(1,291,316)</w:t>
            </w:r>
          </w:p>
        </w:tc>
        <w:tc>
          <w:tcPr>
            <w:tcW w:w="10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(2,250,545)</w:t>
            </w:r>
          </w:p>
        </w:tc>
        <w:tc>
          <w:tcPr>
            <w:tcW w:w="1040" w:type="dxa"/>
            <w:vAlign w:val="bottom"/>
            <w:gridSpan w:val="2"/>
          </w:tcPr>
          <w:p>
            <w:pPr>
              <w:jc w:val="right"/>
              <w:ind w:right="79"/>
              <w:spacing w:after="0" w:line="149" w:lineRule="exact"/>
              <w:rPr>
                <w:sz w:val="20"/>
                <w:szCs w:val="20"/>
                <w:color w:val="auto"/>
              </w:rPr>
            </w:pPr>
            <w:r>
              <w:rPr>
                <w:rFonts w:ascii="Arial" w:cs="Arial" w:eastAsia="Arial" w:hAnsi="Arial"/>
                <w:sz w:val="14"/>
                <w:szCs w:val="14"/>
                <w:color w:val="auto"/>
              </w:rPr>
              <w:t>(9,133,705)</w:t>
            </w:r>
          </w:p>
        </w:tc>
        <w:tc>
          <w:tcPr>
            <w:tcW w:w="88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(1,417,529)</w:t>
            </w:r>
          </w:p>
        </w:tc>
        <w:tc>
          <w:tcPr>
            <w:tcW w:w="0" w:type="dxa"/>
            <w:vAlign w:val="bottom"/>
          </w:tcPr>
          <w:p>
            <w:pPr>
              <w:spacing w:after="0"/>
              <w:rPr>
                <w:sz w:val="1"/>
                <w:szCs w:val="1"/>
                <w:color w:val="auto"/>
              </w:rPr>
            </w:pPr>
          </w:p>
        </w:tc>
      </w:tr>
      <w:tr>
        <w:trPr>
          <w:trHeight w:val="148"/>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Foreign exchange gain (loss), net</w:t>
            </w:r>
          </w:p>
        </w:tc>
        <w:tc>
          <w:tcPr>
            <w:tcW w:w="106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(1,761,929)</w:t>
            </w:r>
          </w:p>
        </w:tc>
        <w:tc>
          <w:tcPr>
            <w:tcW w:w="980" w:type="dxa"/>
            <w:vAlign w:val="bottom"/>
            <w:gridSpan w:val="2"/>
            <w:shd w:val="clear" w:color="auto" w:fill="CCEEFF"/>
          </w:tcPr>
          <w:p>
            <w:pPr>
              <w:jc w:val="right"/>
              <w:ind w:right="99"/>
              <w:spacing w:after="0" w:line="149" w:lineRule="exact"/>
              <w:rPr>
                <w:sz w:val="20"/>
                <w:szCs w:val="20"/>
                <w:color w:val="auto"/>
              </w:rPr>
            </w:pPr>
            <w:r>
              <w:rPr>
                <w:rFonts w:ascii="Arial" w:cs="Arial" w:eastAsia="Arial" w:hAnsi="Arial"/>
                <w:sz w:val="14"/>
                <w:szCs w:val="14"/>
                <w:color w:val="auto"/>
              </w:rPr>
              <w:t>(51,473)</w:t>
            </w:r>
          </w:p>
        </w:tc>
        <w:tc>
          <w:tcPr>
            <w:tcW w:w="94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(7,988)</w:t>
            </w:r>
          </w:p>
        </w:tc>
        <w:tc>
          <w:tcPr>
            <w:tcW w:w="10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(5,201,874)</w:t>
            </w:r>
          </w:p>
        </w:tc>
        <w:tc>
          <w:tcPr>
            <w:tcW w:w="104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(786,605)</w:t>
            </w:r>
          </w:p>
        </w:tc>
        <w:tc>
          <w:tcPr>
            <w:tcW w:w="88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(122,079)</w:t>
            </w:r>
          </w:p>
        </w:tc>
        <w:tc>
          <w:tcPr>
            <w:tcW w:w="0" w:type="dxa"/>
            <w:vAlign w:val="bottom"/>
          </w:tcPr>
          <w:p>
            <w:pPr>
              <w:spacing w:after="0"/>
              <w:rPr>
                <w:sz w:val="1"/>
                <w:szCs w:val="1"/>
                <w:color w:val="auto"/>
              </w:rPr>
            </w:pPr>
          </w:p>
        </w:tc>
      </w:tr>
      <w:tr>
        <w:trPr>
          <w:trHeight w:val="148"/>
        </w:trPr>
        <w:tc>
          <w:tcPr>
            <w:tcW w:w="5060" w:type="dxa"/>
            <w:vAlign w:val="bottom"/>
          </w:tcPr>
          <w:p>
            <w:pPr>
              <w:spacing w:after="0" w:line="149" w:lineRule="exact"/>
              <w:rPr>
                <w:sz w:val="20"/>
                <w:szCs w:val="20"/>
                <w:color w:val="auto"/>
              </w:rPr>
            </w:pPr>
            <w:r>
              <w:rPr>
                <w:rFonts w:ascii="Arial" w:cs="Arial" w:eastAsia="Arial" w:hAnsi="Arial"/>
                <w:sz w:val="14"/>
                <w:szCs w:val="14"/>
                <w:color w:val="auto"/>
              </w:rPr>
              <w:t>Other income</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8,014,913</w:t>
            </w:r>
          </w:p>
        </w:tc>
        <w:tc>
          <w:tcPr>
            <w:tcW w:w="160" w:type="dxa"/>
            <w:vAlign w:val="bottom"/>
          </w:tcPr>
          <w:p>
            <w:pPr>
              <w:spacing w:after="0"/>
              <w:rPr>
                <w:sz w:val="12"/>
                <w:szCs w:val="12"/>
                <w:color w:val="auto"/>
              </w:rPr>
            </w:pPr>
          </w:p>
        </w:tc>
        <w:tc>
          <w:tcPr>
            <w:tcW w:w="9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25,465,800</w:t>
            </w:r>
          </w:p>
        </w:tc>
        <w:tc>
          <w:tcPr>
            <w:tcW w:w="94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3,952,230</w:t>
            </w: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33,805,616</w:t>
            </w:r>
          </w:p>
        </w:tc>
        <w:tc>
          <w:tcPr>
            <w:tcW w:w="104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36,642,145</w:t>
            </w:r>
          </w:p>
        </w:tc>
        <w:tc>
          <w:tcPr>
            <w:tcW w:w="8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5,686,772</w:t>
            </w:r>
          </w:p>
        </w:tc>
        <w:tc>
          <w:tcPr>
            <w:tcW w:w="0" w:type="dxa"/>
            <w:vAlign w:val="bottom"/>
          </w:tcPr>
          <w:p>
            <w:pPr>
              <w:spacing w:after="0"/>
              <w:rPr>
                <w:sz w:val="1"/>
                <w:szCs w:val="1"/>
                <w:color w:val="auto"/>
              </w:rPr>
            </w:pPr>
          </w:p>
        </w:tc>
      </w:tr>
      <w:tr>
        <w:trPr>
          <w:trHeight w:val="148"/>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expenses</w:t>
            </w:r>
          </w:p>
        </w:tc>
        <w:tc>
          <w:tcPr>
            <w:tcW w:w="106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(16,381)</w:t>
            </w:r>
          </w:p>
        </w:tc>
        <w:tc>
          <w:tcPr>
            <w:tcW w:w="980" w:type="dxa"/>
            <w:vAlign w:val="bottom"/>
            <w:gridSpan w:val="2"/>
            <w:shd w:val="clear" w:color="auto" w:fill="CCEEFF"/>
          </w:tcPr>
          <w:p>
            <w:pPr>
              <w:jc w:val="right"/>
              <w:ind w:right="99"/>
              <w:spacing w:after="0" w:line="149" w:lineRule="exact"/>
              <w:rPr>
                <w:sz w:val="20"/>
                <w:szCs w:val="20"/>
                <w:color w:val="auto"/>
              </w:rPr>
            </w:pPr>
            <w:r>
              <w:rPr>
                <w:rFonts w:ascii="Arial" w:cs="Arial" w:eastAsia="Arial" w:hAnsi="Arial"/>
                <w:sz w:val="14"/>
                <w:szCs w:val="14"/>
                <w:color w:val="auto"/>
              </w:rPr>
              <w:t>(107,905)</w:t>
            </w:r>
          </w:p>
        </w:tc>
        <w:tc>
          <w:tcPr>
            <w:tcW w:w="94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(16,747)</w:t>
            </w:r>
          </w:p>
        </w:tc>
        <w:tc>
          <w:tcPr>
            <w:tcW w:w="10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(597,876)</w:t>
            </w:r>
          </w:p>
        </w:tc>
        <w:tc>
          <w:tcPr>
            <w:tcW w:w="104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(6,587,727)</w:t>
            </w:r>
          </w:p>
        </w:tc>
        <w:tc>
          <w:tcPr>
            <w:tcW w:w="88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(1,022,399)</w:t>
            </w:r>
          </w:p>
        </w:tc>
        <w:tc>
          <w:tcPr>
            <w:tcW w:w="0" w:type="dxa"/>
            <w:vAlign w:val="bottom"/>
          </w:tcPr>
          <w:p>
            <w:pPr>
              <w:spacing w:after="0"/>
              <w:rPr>
                <w:sz w:val="1"/>
                <w:szCs w:val="1"/>
                <w:color w:val="auto"/>
              </w:rPr>
            </w:pPr>
          </w:p>
        </w:tc>
      </w:tr>
      <w:tr>
        <w:trPr>
          <w:trHeight w:val="156"/>
        </w:trPr>
        <w:tc>
          <w:tcPr>
            <w:tcW w:w="5060" w:type="dxa"/>
            <w:vAlign w:val="bottom"/>
          </w:tcPr>
          <w:p>
            <w:pPr>
              <w:spacing w:after="0" w:line="155" w:lineRule="exact"/>
              <w:rPr>
                <w:sz w:val="20"/>
                <w:szCs w:val="20"/>
                <w:color w:val="auto"/>
              </w:rPr>
            </w:pPr>
            <w:r>
              <w:rPr>
                <w:rFonts w:ascii="Arial" w:cs="Arial" w:eastAsia="Arial" w:hAnsi="Arial"/>
                <w:sz w:val="14"/>
                <w:szCs w:val="14"/>
                <w:b w:val="1"/>
                <w:bCs w:val="1"/>
                <w:color w:val="auto"/>
              </w:rPr>
              <w:t>Net income before income taxes</w:t>
            </w:r>
          </w:p>
        </w:tc>
        <w:tc>
          <w:tcPr>
            <w:tcW w:w="8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96"/>
              </w:rPr>
              <w:t>1,977,834,103</w:t>
            </w:r>
          </w:p>
        </w:tc>
        <w:tc>
          <w:tcPr>
            <w:tcW w:w="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0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94"/>
              </w:rPr>
              <w:t>(454,704,088</w:t>
            </w:r>
          </w:p>
        </w:tc>
        <w:tc>
          <w:tcPr>
            <w:tcW w:w="180" w:type="dxa"/>
            <w:vAlign w:val="bottom"/>
          </w:tcPr>
          <w:p>
            <w:pPr>
              <w:jc w:val="right"/>
              <w:ind w:right="99"/>
              <w:spacing w:after="0"/>
              <w:rPr>
                <w:sz w:val="20"/>
                <w:szCs w:val="20"/>
                <w:color w:val="auto"/>
              </w:rPr>
            </w:pPr>
            <w:r>
              <w:rPr>
                <w:rFonts w:ascii="Arial" w:cs="Arial" w:eastAsia="Arial" w:hAnsi="Arial"/>
                <w:sz w:val="8"/>
                <w:szCs w:val="8"/>
                <w:b w:val="1"/>
                <w:bCs w:val="1"/>
                <w:color w:val="auto"/>
                <w:w w:val="73"/>
              </w:rPr>
              <w:t>)</w:t>
            </w:r>
          </w:p>
        </w:tc>
        <w:tc>
          <w:tcPr>
            <w:tcW w:w="76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98"/>
              </w:rPr>
              <w:t>(70,568,968</w:t>
            </w:r>
          </w:p>
        </w:tc>
        <w:tc>
          <w:tcPr>
            <w:tcW w:w="180" w:type="dxa"/>
            <w:vAlign w:val="bottom"/>
          </w:tcPr>
          <w:p>
            <w:pPr>
              <w:jc w:val="right"/>
              <w:ind w:right="48"/>
              <w:spacing w:after="0" w:line="155" w:lineRule="exact"/>
              <w:rPr>
                <w:sz w:val="20"/>
                <w:szCs w:val="20"/>
                <w:color w:val="auto"/>
              </w:rPr>
            </w:pPr>
            <w:r>
              <w:rPr>
                <w:rFonts w:ascii="Arial" w:cs="Arial" w:eastAsia="Arial" w:hAnsi="Arial"/>
                <w:sz w:val="14"/>
                <w:szCs w:val="14"/>
                <w:b w:val="1"/>
                <w:bCs w:val="1"/>
                <w:color w:val="auto"/>
                <w:w w:val="84"/>
              </w:rPr>
              <w:t>)</w:t>
            </w:r>
          </w:p>
        </w:tc>
        <w:tc>
          <w:tcPr>
            <w:tcW w:w="8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96"/>
              </w:rPr>
              <w:t>2,034,018,341</w:t>
            </w:r>
          </w:p>
        </w:tc>
        <w:tc>
          <w:tcPr>
            <w:tcW w:w="180" w:type="dxa"/>
            <w:vAlign w:val="bottom"/>
          </w:tcPr>
          <w:p>
            <w:pPr>
              <w:spacing w:after="0"/>
              <w:rPr>
                <w:sz w:val="13"/>
                <w:szCs w:val="13"/>
                <w:color w:val="auto"/>
              </w:rPr>
            </w:pPr>
          </w:p>
        </w:tc>
        <w:tc>
          <w:tcPr>
            <w:tcW w:w="8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(99,921,939)</w:t>
            </w:r>
          </w:p>
        </w:tc>
        <w:tc>
          <w:tcPr>
            <w:tcW w:w="160" w:type="dxa"/>
            <w:vAlign w:val="bottom"/>
          </w:tcPr>
          <w:p>
            <w:pPr>
              <w:spacing w:after="0"/>
              <w:rPr>
                <w:sz w:val="13"/>
                <w:szCs w:val="13"/>
                <w:color w:val="auto"/>
              </w:rPr>
            </w:pPr>
          </w:p>
        </w:tc>
        <w:tc>
          <w:tcPr>
            <w:tcW w:w="880" w:type="dxa"/>
            <w:vAlign w:val="bottom"/>
            <w:gridSpan w:val="2"/>
          </w:tcPr>
          <w:p>
            <w:pPr>
              <w:jc w:val="right"/>
              <w:ind w:right="19"/>
              <w:spacing w:after="0" w:line="155" w:lineRule="exact"/>
              <w:rPr>
                <w:sz w:val="20"/>
                <w:szCs w:val="20"/>
                <w:color w:val="auto"/>
              </w:rPr>
            </w:pPr>
            <w:r>
              <w:rPr>
                <w:rFonts w:ascii="Arial" w:cs="Arial" w:eastAsia="Arial" w:hAnsi="Arial"/>
                <w:sz w:val="14"/>
                <w:szCs w:val="14"/>
                <w:b w:val="1"/>
                <w:bCs w:val="1"/>
                <w:color w:val="auto"/>
              </w:rPr>
              <w:t>(15,507,641)</w:t>
            </w:r>
          </w:p>
        </w:tc>
        <w:tc>
          <w:tcPr>
            <w:tcW w:w="0" w:type="dxa"/>
            <w:vAlign w:val="bottom"/>
          </w:tcPr>
          <w:p>
            <w:pPr>
              <w:spacing w:after="0"/>
              <w:rPr>
                <w:sz w:val="1"/>
                <w:szCs w:val="1"/>
                <w:color w:val="auto"/>
              </w:rPr>
            </w:pPr>
          </w:p>
        </w:tc>
      </w:tr>
      <w:tr>
        <w:trPr>
          <w:trHeight w:val="27"/>
        </w:trPr>
        <w:tc>
          <w:tcPr>
            <w:tcW w:w="506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0" w:type="dxa"/>
            <w:vAlign w:val="bottom"/>
          </w:tcPr>
          <w:p>
            <w:pPr>
              <w:spacing w:after="0"/>
              <w:rPr>
                <w:sz w:val="2"/>
                <w:szCs w:val="2"/>
                <w:color w:val="auto"/>
              </w:rPr>
            </w:pPr>
          </w:p>
        </w:tc>
        <w:tc>
          <w:tcPr>
            <w:tcW w:w="160" w:type="dxa"/>
            <w:vAlign w:val="bottom"/>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160" w:type="dxa"/>
            <w:vAlign w:val="bottom"/>
          </w:tcPr>
          <w:p>
            <w:pPr>
              <w:spacing w:after="0"/>
              <w:rPr>
                <w:sz w:val="2"/>
                <w:szCs w:val="2"/>
                <w:color w:val="auto"/>
              </w:rPr>
            </w:pPr>
          </w:p>
        </w:tc>
        <w:tc>
          <w:tcPr>
            <w:tcW w:w="780" w:type="dxa"/>
            <w:vAlign w:val="bottom"/>
            <w:shd w:val="clear" w:color="auto" w:fill="000000"/>
          </w:tcPr>
          <w:p>
            <w:pPr>
              <w:spacing w:after="0"/>
              <w:rPr>
                <w:sz w:val="2"/>
                <w:szCs w:val="2"/>
                <w:color w:val="auto"/>
              </w:rPr>
            </w:pPr>
          </w:p>
        </w:tc>
        <w:tc>
          <w:tcPr>
            <w:tcW w:w="10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49"/>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Income tax expenses</w:t>
            </w:r>
          </w:p>
        </w:tc>
        <w:tc>
          <w:tcPr>
            <w:tcW w:w="106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(208,451,556)</w:t>
            </w:r>
          </w:p>
        </w:tc>
        <w:tc>
          <w:tcPr>
            <w:tcW w:w="9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38,166,368</w:t>
            </w:r>
          </w:p>
        </w:tc>
        <w:tc>
          <w:tcPr>
            <w:tcW w:w="94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5,923,327</w:t>
            </w:r>
          </w:p>
        </w:tc>
        <w:tc>
          <w:tcPr>
            <w:tcW w:w="10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(229,091,015)</w:t>
            </w:r>
          </w:p>
        </w:tc>
        <w:tc>
          <w:tcPr>
            <w:tcW w:w="104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(32,749,453)</w:t>
            </w:r>
          </w:p>
        </w:tc>
        <w:tc>
          <w:tcPr>
            <w:tcW w:w="88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(5,082,635)</w:t>
            </w:r>
          </w:p>
        </w:tc>
        <w:tc>
          <w:tcPr>
            <w:tcW w:w="0" w:type="dxa"/>
            <w:vAlign w:val="bottom"/>
          </w:tcPr>
          <w:p>
            <w:pPr>
              <w:spacing w:after="0"/>
              <w:rPr>
                <w:sz w:val="1"/>
                <w:szCs w:val="1"/>
                <w:color w:val="auto"/>
              </w:rPr>
            </w:pPr>
          </w:p>
        </w:tc>
      </w:tr>
      <w:tr>
        <w:trPr>
          <w:trHeight w:val="163"/>
        </w:trPr>
        <w:tc>
          <w:tcPr>
            <w:tcW w:w="5060" w:type="dxa"/>
            <w:vAlign w:val="bottom"/>
          </w:tcPr>
          <w:p>
            <w:pPr>
              <w:spacing w:after="0" w:line="155" w:lineRule="exact"/>
              <w:rPr>
                <w:sz w:val="20"/>
                <w:szCs w:val="20"/>
                <w:color w:val="auto"/>
              </w:rPr>
            </w:pPr>
            <w:r>
              <w:rPr>
                <w:rFonts w:ascii="Arial" w:cs="Arial" w:eastAsia="Arial" w:hAnsi="Arial"/>
                <w:sz w:val="14"/>
                <w:szCs w:val="14"/>
                <w:b w:val="1"/>
                <w:bCs w:val="1"/>
                <w:color w:val="auto"/>
              </w:rPr>
              <w:t>Net income</w:t>
            </w:r>
          </w:p>
        </w:tc>
        <w:tc>
          <w:tcPr>
            <w:tcW w:w="8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96"/>
              </w:rPr>
              <w:t>1,769,382,547</w:t>
            </w: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80" w:type="dxa"/>
            <w:vAlign w:val="bottom"/>
            <w:gridSpan w:val="2"/>
          </w:tcPr>
          <w:p>
            <w:pPr>
              <w:jc w:val="right"/>
              <w:ind w:right="99"/>
              <w:spacing w:after="0" w:line="155" w:lineRule="exact"/>
              <w:rPr>
                <w:sz w:val="20"/>
                <w:szCs w:val="20"/>
                <w:color w:val="auto"/>
              </w:rPr>
            </w:pPr>
            <w:r>
              <w:rPr>
                <w:rFonts w:ascii="Arial" w:cs="Arial" w:eastAsia="Arial" w:hAnsi="Arial"/>
                <w:sz w:val="14"/>
                <w:szCs w:val="14"/>
                <w:b w:val="1"/>
                <w:bCs w:val="1"/>
                <w:color w:val="auto"/>
                <w:w w:val="94"/>
              </w:rPr>
              <w:t>(416,537,720)</w:t>
            </w:r>
          </w:p>
        </w:tc>
        <w:tc>
          <w:tcPr>
            <w:tcW w:w="940" w:type="dxa"/>
            <w:vAlign w:val="bottom"/>
            <w:gridSpan w:val="2"/>
          </w:tcPr>
          <w:p>
            <w:pPr>
              <w:jc w:val="right"/>
              <w:ind w:right="48"/>
              <w:spacing w:after="0" w:line="155" w:lineRule="exact"/>
              <w:rPr>
                <w:sz w:val="20"/>
                <w:szCs w:val="20"/>
                <w:color w:val="auto"/>
              </w:rPr>
            </w:pPr>
            <w:r>
              <w:rPr>
                <w:rFonts w:ascii="Arial" w:cs="Arial" w:eastAsia="Arial" w:hAnsi="Arial"/>
                <w:sz w:val="14"/>
                <w:szCs w:val="14"/>
                <w:b w:val="1"/>
                <w:bCs w:val="1"/>
                <w:color w:val="auto"/>
              </w:rPr>
              <w:t>(64,645,641)</w:t>
            </w:r>
          </w:p>
        </w:tc>
        <w:tc>
          <w:tcPr>
            <w:tcW w:w="8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96"/>
              </w:rPr>
              <w:t>1,804,927,326</w:t>
            </w:r>
          </w:p>
        </w:tc>
        <w:tc>
          <w:tcPr>
            <w:tcW w:w="180" w:type="dxa"/>
            <w:vAlign w:val="bottom"/>
          </w:tcPr>
          <w:p>
            <w:pPr>
              <w:spacing w:after="0"/>
              <w:rPr>
                <w:sz w:val="14"/>
                <w:szCs w:val="14"/>
                <w:color w:val="auto"/>
              </w:rPr>
            </w:pPr>
          </w:p>
        </w:tc>
        <w:tc>
          <w:tcPr>
            <w:tcW w:w="1040" w:type="dxa"/>
            <w:vAlign w:val="bottom"/>
            <w:gridSpan w:val="2"/>
          </w:tcPr>
          <w:p>
            <w:pPr>
              <w:jc w:val="right"/>
              <w:ind w:right="79"/>
              <w:spacing w:after="0" w:line="155" w:lineRule="exact"/>
              <w:rPr>
                <w:sz w:val="20"/>
                <w:szCs w:val="20"/>
                <w:color w:val="auto"/>
              </w:rPr>
            </w:pPr>
            <w:r>
              <w:rPr>
                <w:rFonts w:ascii="Arial" w:cs="Arial" w:eastAsia="Arial" w:hAnsi="Arial"/>
                <w:sz w:val="14"/>
                <w:szCs w:val="14"/>
                <w:b w:val="1"/>
                <w:bCs w:val="1"/>
                <w:color w:val="auto"/>
              </w:rPr>
              <w:t>(132,671,392)</w:t>
            </w:r>
          </w:p>
        </w:tc>
        <w:tc>
          <w:tcPr>
            <w:tcW w:w="880" w:type="dxa"/>
            <w:vAlign w:val="bottom"/>
            <w:gridSpan w:val="2"/>
          </w:tcPr>
          <w:p>
            <w:pPr>
              <w:jc w:val="right"/>
              <w:ind w:right="19"/>
              <w:spacing w:after="0" w:line="155" w:lineRule="exact"/>
              <w:rPr>
                <w:sz w:val="20"/>
                <w:szCs w:val="20"/>
                <w:color w:val="auto"/>
              </w:rPr>
            </w:pPr>
            <w:r>
              <w:rPr>
                <w:rFonts w:ascii="Arial" w:cs="Arial" w:eastAsia="Arial" w:hAnsi="Arial"/>
                <w:sz w:val="14"/>
                <w:szCs w:val="14"/>
                <w:b w:val="1"/>
                <w:bCs w:val="1"/>
                <w:color w:val="auto"/>
              </w:rPr>
              <w:t>(20,590,276)</w:t>
            </w:r>
          </w:p>
        </w:tc>
        <w:tc>
          <w:tcPr>
            <w:tcW w:w="0" w:type="dxa"/>
            <w:vAlign w:val="bottom"/>
          </w:tcPr>
          <w:p>
            <w:pPr>
              <w:spacing w:after="0"/>
              <w:rPr>
                <w:sz w:val="1"/>
                <w:szCs w:val="1"/>
                <w:color w:val="auto"/>
              </w:rPr>
            </w:pPr>
          </w:p>
        </w:tc>
      </w:tr>
      <w:tr>
        <w:trPr>
          <w:trHeight w:val="148"/>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Less: Net income attributable to non-controlling interests</w:t>
            </w:r>
          </w:p>
        </w:tc>
        <w:tc>
          <w:tcPr>
            <w:tcW w:w="880" w:type="dxa"/>
            <w:vAlign w:val="bottom"/>
            <w:tcBorders>
              <w:top w:val="single" w:sz="8" w:color="auto"/>
              <w:bottom w:val="single" w:sz="8" w:color="auto"/>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256,018</w:t>
            </w:r>
          </w:p>
        </w:tc>
        <w:tc>
          <w:tcPr>
            <w:tcW w:w="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0" w:type="dxa"/>
            <w:vAlign w:val="bottom"/>
            <w:tcBorders>
              <w:top w:val="single" w:sz="8" w:color="auto"/>
              <w:bottom w:val="single" w:sz="8" w:color="auto"/>
            </w:tcBorders>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rPr>
              <w:t>—</w:t>
            </w:r>
          </w:p>
        </w:tc>
        <w:tc>
          <w:tcPr>
            <w:tcW w:w="180" w:type="dxa"/>
            <w:vAlign w:val="bottom"/>
            <w:shd w:val="clear" w:color="auto" w:fill="CCEEFF"/>
          </w:tcPr>
          <w:p>
            <w:pPr>
              <w:spacing w:after="0"/>
              <w:rPr>
                <w:sz w:val="12"/>
                <w:szCs w:val="12"/>
                <w:color w:val="auto"/>
              </w:rPr>
            </w:pPr>
          </w:p>
        </w:tc>
        <w:tc>
          <w:tcPr>
            <w:tcW w:w="760" w:type="dxa"/>
            <w:vAlign w:val="bottom"/>
            <w:tcBorders>
              <w:top w:val="single" w:sz="8" w:color="auto"/>
              <w:bottom w:val="single" w:sz="8" w:color="auto"/>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80" w:type="dxa"/>
            <w:vAlign w:val="bottom"/>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3,902,214</w:t>
            </w:r>
          </w:p>
        </w:tc>
        <w:tc>
          <w:tcPr>
            <w:tcW w:w="180" w:type="dxa"/>
            <w:vAlign w:val="bottom"/>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rPr>
              <w:t>—</w:t>
            </w:r>
          </w:p>
        </w:tc>
        <w:tc>
          <w:tcPr>
            <w:tcW w:w="160" w:type="dxa"/>
            <w:vAlign w:val="bottom"/>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5060" w:type="dxa"/>
            <w:vAlign w:val="bottom"/>
          </w:tcPr>
          <w:p>
            <w:pPr>
              <w:spacing w:after="0" w:line="155" w:lineRule="exact"/>
              <w:rPr>
                <w:sz w:val="20"/>
                <w:szCs w:val="20"/>
                <w:color w:val="auto"/>
              </w:rPr>
            </w:pPr>
            <w:r>
              <w:rPr>
                <w:rFonts w:ascii="Arial" w:cs="Arial" w:eastAsia="Arial" w:hAnsi="Arial"/>
                <w:sz w:val="14"/>
                <w:szCs w:val="14"/>
                <w:b w:val="1"/>
                <w:bCs w:val="1"/>
                <w:color w:val="auto"/>
              </w:rPr>
              <w:t>Net income attributable to Cango Inc.’s shareholders</w:t>
            </w:r>
          </w:p>
        </w:tc>
        <w:tc>
          <w:tcPr>
            <w:tcW w:w="8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96"/>
              </w:rPr>
              <w:t>1,769,126,529</w:t>
            </w: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94"/>
              </w:rPr>
              <w:t>(416,537,720</w:t>
            </w:r>
          </w:p>
        </w:tc>
        <w:tc>
          <w:tcPr>
            <w:tcW w:w="180" w:type="dxa"/>
            <w:vAlign w:val="bottom"/>
          </w:tcPr>
          <w:p>
            <w:pPr>
              <w:jc w:val="right"/>
              <w:ind w:right="99"/>
              <w:spacing w:after="0"/>
              <w:rPr>
                <w:sz w:val="20"/>
                <w:szCs w:val="20"/>
                <w:color w:val="auto"/>
              </w:rPr>
            </w:pPr>
            <w:r>
              <w:rPr>
                <w:rFonts w:ascii="Arial" w:cs="Arial" w:eastAsia="Arial" w:hAnsi="Arial"/>
                <w:sz w:val="8"/>
                <w:szCs w:val="8"/>
                <w:b w:val="1"/>
                <w:bCs w:val="1"/>
                <w:color w:val="auto"/>
                <w:w w:val="73"/>
              </w:rPr>
              <w:t>)</w:t>
            </w:r>
          </w:p>
        </w:tc>
        <w:tc>
          <w:tcPr>
            <w:tcW w:w="76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98"/>
              </w:rPr>
              <w:t>(64,645,641</w:t>
            </w:r>
          </w:p>
        </w:tc>
        <w:tc>
          <w:tcPr>
            <w:tcW w:w="180" w:type="dxa"/>
            <w:vAlign w:val="bottom"/>
          </w:tcPr>
          <w:p>
            <w:pPr>
              <w:jc w:val="right"/>
              <w:ind w:right="48"/>
              <w:spacing w:after="0" w:line="155" w:lineRule="exact"/>
              <w:rPr>
                <w:sz w:val="20"/>
                <w:szCs w:val="20"/>
                <w:color w:val="auto"/>
              </w:rPr>
            </w:pPr>
            <w:r>
              <w:rPr>
                <w:rFonts w:ascii="Arial" w:cs="Arial" w:eastAsia="Arial" w:hAnsi="Arial"/>
                <w:sz w:val="14"/>
                <w:szCs w:val="14"/>
                <w:b w:val="1"/>
                <w:bCs w:val="1"/>
                <w:color w:val="auto"/>
                <w:w w:val="84"/>
              </w:rPr>
              <w:t>)</w:t>
            </w:r>
          </w:p>
        </w:tc>
        <w:tc>
          <w:tcPr>
            <w:tcW w:w="8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w w:val="96"/>
              </w:rPr>
              <w:t>1,801,025,112</w:t>
            </w:r>
          </w:p>
        </w:tc>
        <w:tc>
          <w:tcPr>
            <w:tcW w:w="180" w:type="dxa"/>
            <w:vAlign w:val="bottom"/>
          </w:tcPr>
          <w:p>
            <w:pPr>
              <w:spacing w:after="0"/>
              <w:rPr>
                <w:sz w:val="14"/>
                <w:szCs w:val="14"/>
                <w:color w:val="auto"/>
              </w:rPr>
            </w:pPr>
          </w:p>
        </w:tc>
        <w:tc>
          <w:tcPr>
            <w:tcW w:w="8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(132,671,392</w:t>
            </w:r>
          </w:p>
        </w:tc>
        <w:tc>
          <w:tcPr>
            <w:tcW w:w="160" w:type="dxa"/>
            <w:vAlign w:val="bottom"/>
          </w:tcPr>
          <w:p>
            <w:pPr>
              <w:jc w:val="right"/>
              <w:ind w:right="79"/>
              <w:spacing w:after="0"/>
              <w:rPr>
                <w:sz w:val="20"/>
                <w:szCs w:val="20"/>
                <w:color w:val="auto"/>
              </w:rPr>
            </w:pPr>
            <w:r>
              <w:rPr>
                <w:rFonts w:ascii="Arial" w:cs="Arial" w:eastAsia="Arial" w:hAnsi="Arial"/>
                <w:sz w:val="8"/>
                <w:szCs w:val="8"/>
                <w:b w:val="1"/>
                <w:bCs w:val="1"/>
                <w:color w:val="auto"/>
                <w:w w:val="73"/>
              </w:rPr>
              <w:t>)</w:t>
            </w:r>
          </w:p>
        </w:tc>
        <w:tc>
          <w:tcPr>
            <w:tcW w:w="7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(20,590,276</w:t>
            </w:r>
          </w:p>
        </w:tc>
        <w:tc>
          <w:tcPr>
            <w:tcW w:w="100" w:type="dxa"/>
            <w:vAlign w:val="bottom"/>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148"/>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Earnings per ADS attributable to ordinary shareholders:</w:t>
            </w:r>
          </w:p>
        </w:tc>
        <w:tc>
          <w:tcPr>
            <w:tcW w:w="8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5060" w:type="dxa"/>
            <w:vAlign w:val="bottom"/>
          </w:tcPr>
          <w:p>
            <w:pPr>
              <w:spacing w:after="0" w:line="149" w:lineRule="exact"/>
              <w:rPr>
                <w:sz w:val="20"/>
                <w:szCs w:val="20"/>
                <w:color w:val="auto"/>
              </w:rPr>
            </w:pPr>
            <w:r>
              <w:rPr>
                <w:rFonts w:ascii="Arial" w:cs="Arial" w:eastAsia="Arial" w:hAnsi="Arial"/>
                <w:sz w:val="14"/>
                <w:szCs w:val="14"/>
                <w:color w:val="auto"/>
              </w:rPr>
              <w:t>Basic</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11.82</w:t>
            </w:r>
          </w:p>
        </w:tc>
        <w:tc>
          <w:tcPr>
            <w:tcW w:w="160" w:type="dxa"/>
            <w:vAlign w:val="bottom"/>
          </w:tcPr>
          <w:p>
            <w:pPr>
              <w:spacing w:after="0"/>
              <w:rPr>
                <w:sz w:val="12"/>
                <w:szCs w:val="12"/>
                <w:color w:val="auto"/>
              </w:rPr>
            </w:pPr>
          </w:p>
        </w:tc>
        <w:tc>
          <w:tcPr>
            <w:tcW w:w="980" w:type="dxa"/>
            <w:vAlign w:val="bottom"/>
            <w:gridSpan w:val="2"/>
          </w:tcPr>
          <w:p>
            <w:pPr>
              <w:jc w:val="right"/>
              <w:ind w:right="99"/>
              <w:spacing w:after="0" w:line="149" w:lineRule="exact"/>
              <w:rPr>
                <w:sz w:val="20"/>
                <w:szCs w:val="20"/>
                <w:color w:val="auto"/>
              </w:rPr>
            </w:pPr>
            <w:r>
              <w:rPr>
                <w:rFonts w:ascii="Arial" w:cs="Arial" w:eastAsia="Arial" w:hAnsi="Arial"/>
                <w:sz w:val="14"/>
                <w:szCs w:val="14"/>
                <w:color w:val="auto"/>
              </w:rPr>
              <w:t>(2.88)</w:t>
            </w:r>
          </w:p>
        </w:tc>
        <w:tc>
          <w:tcPr>
            <w:tcW w:w="94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(0.45)</w:t>
            </w: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11.97</w:t>
            </w:r>
          </w:p>
        </w:tc>
        <w:tc>
          <w:tcPr>
            <w:tcW w:w="1040" w:type="dxa"/>
            <w:vAlign w:val="bottom"/>
            <w:gridSpan w:val="2"/>
          </w:tcPr>
          <w:p>
            <w:pPr>
              <w:jc w:val="right"/>
              <w:ind w:right="79"/>
              <w:spacing w:after="0" w:line="149" w:lineRule="exact"/>
              <w:rPr>
                <w:sz w:val="20"/>
                <w:szCs w:val="20"/>
                <w:color w:val="auto"/>
              </w:rPr>
            </w:pPr>
            <w:r>
              <w:rPr>
                <w:rFonts w:ascii="Arial" w:cs="Arial" w:eastAsia="Arial" w:hAnsi="Arial"/>
                <w:sz w:val="14"/>
                <w:szCs w:val="14"/>
                <w:color w:val="auto"/>
              </w:rPr>
              <w:t>(0.91)</w:t>
            </w:r>
          </w:p>
        </w:tc>
        <w:tc>
          <w:tcPr>
            <w:tcW w:w="88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(0.14)</w:t>
            </w:r>
          </w:p>
        </w:tc>
        <w:tc>
          <w:tcPr>
            <w:tcW w:w="0" w:type="dxa"/>
            <w:vAlign w:val="bottom"/>
          </w:tcPr>
          <w:p>
            <w:pPr>
              <w:spacing w:after="0"/>
              <w:rPr>
                <w:sz w:val="1"/>
                <w:szCs w:val="1"/>
                <w:color w:val="auto"/>
              </w:rPr>
            </w:pPr>
          </w:p>
        </w:tc>
      </w:tr>
      <w:tr>
        <w:trPr>
          <w:trHeight w:val="148"/>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Diluted</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11.78</w:t>
            </w:r>
          </w:p>
        </w:tc>
        <w:tc>
          <w:tcPr>
            <w:tcW w:w="1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99"/>
              <w:spacing w:after="0" w:line="149" w:lineRule="exact"/>
              <w:rPr>
                <w:sz w:val="20"/>
                <w:szCs w:val="20"/>
                <w:color w:val="auto"/>
              </w:rPr>
            </w:pPr>
            <w:r>
              <w:rPr>
                <w:rFonts w:ascii="Arial" w:cs="Arial" w:eastAsia="Arial" w:hAnsi="Arial"/>
                <w:sz w:val="14"/>
                <w:szCs w:val="14"/>
                <w:color w:val="auto"/>
              </w:rPr>
              <w:t>(2.88)</w:t>
            </w:r>
          </w:p>
        </w:tc>
        <w:tc>
          <w:tcPr>
            <w:tcW w:w="94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(0.45)</w:t>
            </w: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11.89</w:t>
            </w:r>
          </w:p>
        </w:tc>
        <w:tc>
          <w:tcPr>
            <w:tcW w:w="104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(0.91)</w:t>
            </w:r>
          </w:p>
        </w:tc>
        <w:tc>
          <w:tcPr>
            <w:tcW w:w="88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(0.14)</w:t>
            </w:r>
          </w:p>
        </w:tc>
        <w:tc>
          <w:tcPr>
            <w:tcW w:w="0" w:type="dxa"/>
            <w:vAlign w:val="bottom"/>
          </w:tcPr>
          <w:p>
            <w:pPr>
              <w:spacing w:after="0"/>
              <w:rPr>
                <w:sz w:val="1"/>
                <w:szCs w:val="1"/>
                <w:color w:val="auto"/>
              </w:rPr>
            </w:pPr>
          </w:p>
        </w:tc>
      </w:tr>
      <w:tr>
        <w:trPr>
          <w:trHeight w:val="126"/>
        </w:trPr>
        <w:tc>
          <w:tcPr>
            <w:tcW w:w="5060" w:type="dxa"/>
            <w:vAlign w:val="bottom"/>
          </w:tcPr>
          <w:p>
            <w:pPr>
              <w:spacing w:after="0" w:line="126" w:lineRule="exact"/>
              <w:rPr>
                <w:sz w:val="20"/>
                <w:szCs w:val="20"/>
                <w:color w:val="auto"/>
              </w:rPr>
            </w:pPr>
            <w:r>
              <w:rPr>
                <w:rFonts w:ascii="Arial" w:cs="Arial" w:eastAsia="Arial" w:hAnsi="Arial"/>
                <w:sz w:val="14"/>
                <w:szCs w:val="14"/>
                <w:b w:val="1"/>
                <w:bCs w:val="1"/>
                <w:color w:val="auto"/>
              </w:rPr>
              <w:t>Weighted average ADS used to compute earnings per ADS attributable to</w:t>
            </w:r>
          </w:p>
        </w:tc>
        <w:tc>
          <w:tcPr>
            <w:tcW w:w="8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5060" w:type="dxa"/>
            <w:vAlign w:val="bottom"/>
          </w:tcPr>
          <w:p>
            <w:pPr>
              <w:ind w:left="140"/>
              <w:spacing w:after="0"/>
              <w:rPr>
                <w:sz w:val="20"/>
                <w:szCs w:val="20"/>
                <w:color w:val="auto"/>
              </w:rPr>
            </w:pPr>
            <w:r>
              <w:rPr>
                <w:rFonts w:ascii="Arial" w:cs="Arial" w:eastAsia="Arial" w:hAnsi="Arial"/>
                <w:sz w:val="14"/>
                <w:szCs w:val="14"/>
                <w:b w:val="1"/>
                <w:bCs w:val="1"/>
                <w:color w:val="auto"/>
              </w:rPr>
              <w:t>ordinary shareholders:</w:t>
            </w:r>
          </w:p>
        </w:tc>
        <w:tc>
          <w:tcPr>
            <w:tcW w:w="8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Basic</w:t>
            </w:r>
          </w:p>
        </w:tc>
        <w:tc>
          <w:tcPr>
            <w:tcW w:w="9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149,706,190</w:t>
            </w:r>
          </w:p>
        </w:tc>
        <w:tc>
          <w:tcPr>
            <w:tcW w:w="1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144,470,649</w:t>
            </w:r>
          </w:p>
        </w:tc>
        <w:tc>
          <w:tcPr>
            <w:tcW w:w="94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w w:val="95"/>
              </w:rPr>
              <w:t>144,470,649</w:t>
            </w:r>
          </w:p>
        </w:tc>
        <w:tc>
          <w:tcPr>
            <w:tcW w:w="10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150,425,738</w:t>
            </w:r>
          </w:p>
        </w:tc>
        <w:tc>
          <w:tcPr>
            <w:tcW w:w="10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146,155,678</w:t>
            </w:r>
          </w:p>
        </w:tc>
        <w:tc>
          <w:tcPr>
            <w:tcW w:w="8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w w:val="97"/>
              </w:rPr>
              <w:t>146,155,678</w:t>
            </w:r>
          </w:p>
        </w:tc>
        <w:tc>
          <w:tcPr>
            <w:tcW w:w="0" w:type="dxa"/>
            <w:vAlign w:val="bottom"/>
          </w:tcPr>
          <w:p>
            <w:pPr>
              <w:spacing w:after="0"/>
              <w:rPr>
                <w:sz w:val="1"/>
                <w:szCs w:val="1"/>
                <w:color w:val="auto"/>
              </w:rPr>
            </w:pPr>
          </w:p>
        </w:tc>
      </w:tr>
      <w:tr>
        <w:trPr>
          <w:trHeight w:val="148"/>
        </w:trPr>
        <w:tc>
          <w:tcPr>
            <w:tcW w:w="5060" w:type="dxa"/>
            <w:vAlign w:val="bottom"/>
          </w:tcPr>
          <w:p>
            <w:pPr>
              <w:spacing w:after="0" w:line="149" w:lineRule="exact"/>
              <w:rPr>
                <w:sz w:val="20"/>
                <w:szCs w:val="20"/>
                <w:color w:val="auto"/>
              </w:rPr>
            </w:pPr>
            <w:r>
              <w:rPr>
                <w:rFonts w:ascii="Arial" w:cs="Arial" w:eastAsia="Arial" w:hAnsi="Arial"/>
                <w:sz w:val="14"/>
                <w:szCs w:val="14"/>
                <w:color w:val="auto"/>
              </w:rPr>
              <w:t>Diluted</w:t>
            </w:r>
          </w:p>
        </w:tc>
        <w:tc>
          <w:tcPr>
            <w:tcW w:w="9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150,185,842</w:t>
            </w:r>
          </w:p>
        </w:tc>
        <w:tc>
          <w:tcPr>
            <w:tcW w:w="160" w:type="dxa"/>
            <w:vAlign w:val="bottom"/>
          </w:tcPr>
          <w:p>
            <w:pPr>
              <w:spacing w:after="0"/>
              <w:rPr>
                <w:sz w:val="12"/>
                <w:szCs w:val="12"/>
                <w:color w:val="auto"/>
              </w:rPr>
            </w:pPr>
          </w:p>
        </w:tc>
        <w:tc>
          <w:tcPr>
            <w:tcW w:w="98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144,470,649</w:t>
            </w:r>
          </w:p>
        </w:tc>
        <w:tc>
          <w:tcPr>
            <w:tcW w:w="94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w w:val="95"/>
              </w:rPr>
              <w:t>144,470,649</w:t>
            </w:r>
          </w:p>
        </w:tc>
        <w:tc>
          <w:tcPr>
            <w:tcW w:w="10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151,520,229</w:t>
            </w:r>
          </w:p>
        </w:tc>
        <w:tc>
          <w:tcPr>
            <w:tcW w:w="104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146,155,678</w:t>
            </w:r>
          </w:p>
        </w:tc>
        <w:tc>
          <w:tcPr>
            <w:tcW w:w="8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w w:val="97"/>
              </w:rPr>
              <w:t>146,155,678</w:t>
            </w:r>
          </w:p>
        </w:tc>
        <w:tc>
          <w:tcPr>
            <w:tcW w:w="0" w:type="dxa"/>
            <w:vAlign w:val="bottom"/>
          </w:tcPr>
          <w:p>
            <w:pPr>
              <w:spacing w:after="0"/>
              <w:rPr>
                <w:sz w:val="1"/>
                <w:szCs w:val="1"/>
                <w:color w:val="auto"/>
              </w:rPr>
            </w:pPr>
          </w:p>
        </w:tc>
      </w:tr>
      <w:tr>
        <w:trPr>
          <w:trHeight w:val="149"/>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Other comprehensive (loss) income, net of tax</w:t>
            </w:r>
          </w:p>
        </w:tc>
        <w:tc>
          <w:tcPr>
            <w:tcW w:w="880" w:type="dxa"/>
            <w:vAlign w:val="bottom"/>
            <w:tcBorders>
              <w:bottom w:val="single" w:sz="8" w:color="auto"/>
            </w:tcBorders>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0" w:type="dxa"/>
            <w:vAlign w:val="bottom"/>
            <w:tcBorders>
              <w:bottom w:val="single" w:sz="8" w:color="auto"/>
            </w:tcBorders>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760" w:type="dxa"/>
            <w:vAlign w:val="bottom"/>
            <w:tcBorders>
              <w:bottom w:val="single" w:sz="8" w:color="auto"/>
            </w:tcBorders>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80" w:type="dxa"/>
            <w:vAlign w:val="bottom"/>
            <w:tcBorders>
              <w:bottom w:val="single" w:sz="8" w:color="auto"/>
            </w:tcBorders>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80" w:type="dxa"/>
            <w:vAlign w:val="bottom"/>
            <w:tcBorders>
              <w:bottom w:val="single" w:sz="8" w:color="auto"/>
            </w:tcBorders>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80" w:type="dxa"/>
            <w:vAlign w:val="bottom"/>
            <w:tcBorders>
              <w:bottom w:val="single" w:sz="8" w:color="auto"/>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5060" w:type="dxa"/>
            <w:vAlign w:val="bottom"/>
          </w:tcPr>
          <w:p>
            <w:pPr>
              <w:spacing w:after="0" w:line="155" w:lineRule="exact"/>
              <w:rPr>
                <w:sz w:val="20"/>
                <w:szCs w:val="20"/>
                <w:color w:val="auto"/>
              </w:rPr>
            </w:pPr>
            <w:r>
              <w:rPr>
                <w:rFonts w:ascii="Arial" w:cs="Arial" w:eastAsia="Arial" w:hAnsi="Arial"/>
                <w:sz w:val="14"/>
                <w:szCs w:val="14"/>
                <w:color w:val="auto"/>
              </w:rPr>
              <w:t>Foreign currency translation adjustment</w:t>
            </w:r>
          </w:p>
        </w:tc>
        <w:tc>
          <w:tcPr>
            <w:tcW w:w="8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(105,299,287</w:t>
            </w:r>
          </w:p>
        </w:tc>
        <w:tc>
          <w:tcPr>
            <w:tcW w:w="180" w:type="dxa"/>
            <w:vAlign w:val="bottom"/>
            <w:gridSpan w:val="2"/>
          </w:tcPr>
          <w:p>
            <w:pPr>
              <w:jc w:val="right"/>
              <w:ind w:right="140"/>
              <w:spacing w:after="0"/>
              <w:rPr>
                <w:sz w:val="20"/>
                <w:szCs w:val="20"/>
                <w:color w:val="auto"/>
              </w:rPr>
            </w:pPr>
            <w:r>
              <w:rPr>
                <w:rFonts w:ascii="Arial" w:cs="Arial" w:eastAsia="Arial" w:hAnsi="Arial"/>
                <w:sz w:val="8"/>
                <w:szCs w:val="8"/>
                <w:color w:val="auto"/>
                <w:w w:val="73"/>
              </w:rPr>
              <w:t>)</w:t>
            </w:r>
          </w:p>
        </w:tc>
        <w:tc>
          <w:tcPr>
            <w:tcW w:w="8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(5,969,745)</w:t>
            </w:r>
          </w:p>
        </w:tc>
        <w:tc>
          <w:tcPr>
            <w:tcW w:w="180" w:type="dxa"/>
            <w:vAlign w:val="bottom"/>
          </w:tcPr>
          <w:p>
            <w:pPr>
              <w:spacing w:after="0"/>
              <w:rPr>
                <w:sz w:val="14"/>
                <w:szCs w:val="14"/>
                <w:color w:val="auto"/>
              </w:rPr>
            </w:pPr>
          </w:p>
        </w:tc>
        <w:tc>
          <w:tcPr>
            <w:tcW w:w="76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(926,490)</w:t>
            </w:r>
          </w:p>
        </w:tc>
        <w:tc>
          <w:tcPr>
            <w:tcW w:w="180" w:type="dxa"/>
            <w:vAlign w:val="bottom"/>
          </w:tcPr>
          <w:p>
            <w:pPr>
              <w:spacing w:after="0"/>
              <w:rPr>
                <w:sz w:val="14"/>
                <w:szCs w:val="14"/>
                <w:color w:val="auto"/>
              </w:rPr>
            </w:pPr>
          </w:p>
        </w:tc>
        <w:tc>
          <w:tcPr>
            <w:tcW w:w="8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(82,069,737)</w:t>
            </w:r>
          </w:p>
        </w:tc>
        <w:tc>
          <w:tcPr>
            <w:tcW w:w="180" w:type="dxa"/>
            <w:vAlign w:val="bottom"/>
          </w:tcPr>
          <w:p>
            <w:pPr>
              <w:spacing w:after="0"/>
              <w:rPr>
                <w:sz w:val="14"/>
                <w:szCs w:val="14"/>
                <w:color w:val="auto"/>
              </w:rPr>
            </w:pPr>
          </w:p>
        </w:tc>
        <w:tc>
          <w:tcPr>
            <w:tcW w:w="8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(37,828,334)</w:t>
            </w:r>
          </w:p>
        </w:tc>
        <w:tc>
          <w:tcPr>
            <w:tcW w:w="160" w:type="dxa"/>
            <w:vAlign w:val="bottom"/>
          </w:tcPr>
          <w:p>
            <w:pPr>
              <w:spacing w:after="0"/>
              <w:rPr>
                <w:sz w:val="14"/>
                <w:szCs w:val="14"/>
                <w:color w:val="auto"/>
              </w:rPr>
            </w:pPr>
          </w:p>
        </w:tc>
        <w:tc>
          <w:tcPr>
            <w:tcW w:w="7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(5,870,865)</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50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Total comprehensive income</w:t>
            </w:r>
          </w:p>
        </w:tc>
        <w:tc>
          <w:tcPr>
            <w:tcW w:w="880" w:type="dxa"/>
            <w:vAlign w:val="bottom"/>
            <w:tcBorders>
              <w:bottom w:val="single" w:sz="8" w:color="auto"/>
            </w:tcBorders>
            <w:shd w:val="clear" w:color="auto" w:fill="CCEEFF"/>
          </w:tcPr>
          <w:p>
            <w:pPr>
              <w:jc w:val="right"/>
              <w:spacing w:after="0" w:line="149" w:lineRule="exact"/>
              <w:rPr>
                <w:sz w:val="20"/>
                <w:szCs w:val="20"/>
                <w:color w:val="auto"/>
              </w:rPr>
            </w:pPr>
            <w:r>
              <w:rPr>
                <w:rFonts w:ascii="Arial" w:cs="Arial" w:eastAsia="Arial" w:hAnsi="Arial"/>
                <w:sz w:val="14"/>
                <w:szCs w:val="14"/>
                <w:b w:val="1"/>
                <w:bCs w:val="1"/>
                <w:color w:val="auto"/>
                <w:w w:val="96"/>
              </w:rPr>
              <w:t>1,664,083,260</w:t>
            </w:r>
          </w:p>
        </w:tc>
        <w:tc>
          <w:tcPr>
            <w:tcW w:w="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99"/>
              <w:spacing w:after="0" w:line="149" w:lineRule="exact"/>
              <w:rPr>
                <w:sz w:val="20"/>
                <w:szCs w:val="20"/>
                <w:color w:val="auto"/>
              </w:rPr>
            </w:pPr>
            <w:r>
              <w:rPr>
                <w:rFonts w:ascii="Arial" w:cs="Arial" w:eastAsia="Arial" w:hAnsi="Arial"/>
                <w:sz w:val="14"/>
                <w:szCs w:val="14"/>
                <w:b w:val="1"/>
                <w:bCs w:val="1"/>
                <w:color w:val="auto"/>
                <w:w w:val="94"/>
              </w:rPr>
              <w:t>(422,507,465)</w:t>
            </w:r>
          </w:p>
        </w:tc>
        <w:tc>
          <w:tcPr>
            <w:tcW w:w="94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b w:val="1"/>
                <w:bCs w:val="1"/>
                <w:color w:val="auto"/>
              </w:rPr>
              <w:t>(65,572,131)</w:t>
            </w:r>
          </w:p>
        </w:tc>
        <w:tc>
          <w:tcPr>
            <w:tcW w:w="880" w:type="dxa"/>
            <w:vAlign w:val="bottom"/>
            <w:tcBorders>
              <w:bottom w:val="single" w:sz="8" w:color="auto"/>
            </w:tcBorders>
            <w:shd w:val="clear" w:color="auto" w:fill="CCEEFF"/>
          </w:tcPr>
          <w:p>
            <w:pPr>
              <w:jc w:val="right"/>
              <w:spacing w:after="0" w:line="149" w:lineRule="exact"/>
              <w:rPr>
                <w:sz w:val="20"/>
                <w:szCs w:val="20"/>
                <w:color w:val="auto"/>
              </w:rPr>
            </w:pPr>
            <w:r>
              <w:rPr>
                <w:rFonts w:ascii="Arial" w:cs="Arial" w:eastAsia="Arial" w:hAnsi="Arial"/>
                <w:sz w:val="14"/>
                <w:szCs w:val="14"/>
                <w:b w:val="1"/>
                <w:bCs w:val="1"/>
                <w:color w:val="auto"/>
                <w:w w:val="96"/>
              </w:rPr>
              <w:t>1,722,857,589</w:t>
            </w:r>
          </w:p>
        </w:tc>
        <w:tc>
          <w:tcPr>
            <w:tcW w:w="1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b w:val="1"/>
                <w:bCs w:val="1"/>
                <w:color w:val="auto"/>
              </w:rPr>
              <w:t>(170,499,726)</w:t>
            </w:r>
          </w:p>
        </w:tc>
        <w:tc>
          <w:tcPr>
            <w:tcW w:w="88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b w:val="1"/>
                <w:bCs w:val="1"/>
                <w:color w:val="auto"/>
              </w:rPr>
              <w:t>(26,461,141)</w:t>
            </w:r>
          </w:p>
        </w:tc>
        <w:tc>
          <w:tcPr>
            <w:tcW w:w="0" w:type="dxa"/>
            <w:vAlign w:val="bottom"/>
          </w:tcPr>
          <w:p>
            <w:pPr>
              <w:spacing w:after="0"/>
              <w:rPr>
                <w:sz w:val="1"/>
                <w:szCs w:val="1"/>
                <w:color w:val="auto"/>
              </w:rPr>
            </w:pPr>
          </w:p>
        </w:tc>
      </w:tr>
      <w:tr>
        <w:trPr>
          <w:trHeight w:val="20"/>
        </w:trPr>
        <w:tc>
          <w:tcPr>
            <w:tcW w:w="5060" w:type="dxa"/>
            <w:vAlign w:val="bottom"/>
            <w:vMerge w:val="restart"/>
          </w:tcPr>
          <w:p>
            <w:pPr>
              <w:spacing w:after="0"/>
              <w:rPr>
                <w:sz w:val="20"/>
                <w:szCs w:val="20"/>
                <w:color w:val="auto"/>
              </w:rPr>
            </w:pPr>
            <w:r>
              <w:rPr>
                <w:rFonts w:ascii="Arial" w:cs="Arial" w:eastAsia="Arial" w:hAnsi="Arial"/>
                <w:sz w:val="14"/>
                <w:szCs w:val="14"/>
                <w:b w:val="1"/>
                <w:bCs w:val="1"/>
                <w:color w:val="auto"/>
              </w:rPr>
              <w:t>Total comprehensive income attributable to Cango Inc.’s shareholders</w:t>
            </w:r>
          </w:p>
        </w:tc>
        <w:tc>
          <w:tcPr>
            <w:tcW w:w="900" w:type="dxa"/>
            <w:vAlign w:val="bottom"/>
            <w:gridSpan w:val="2"/>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80" w:type="dxa"/>
            <w:vAlign w:val="bottom"/>
            <w:gridSpan w:val="2"/>
          </w:tcPr>
          <w:p>
            <w:pPr>
              <w:spacing w:after="0" w:line="20" w:lineRule="exact"/>
              <w:rPr>
                <w:sz w:val="1"/>
                <w:szCs w:val="1"/>
                <w:color w:val="auto"/>
              </w:rPr>
            </w:pPr>
          </w:p>
        </w:tc>
        <w:tc>
          <w:tcPr>
            <w:tcW w:w="940" w:type="dxa"/>
            <w:vAlign w:val="bottom"/>
            <w:gridSpan w:val="2"/>
          </w:tcPr>
          <w:p>
            <w:pPr>
              <w:spacing w:after="0" w:line="20" w:lineRule="exact"/>
              <w:rPr>
                <w:sz w:val="1"/>
                <w:szCs w:val="1"/>
                <w:color w:val="auto"/>
              </w:rPr>
            </w:pPr>
          </w:p>
        </w:tc>
        <w:tc>
          <w:tcPr>
            <w:tcW w:w="1060" w:type="dxa"/>
            <w:vAlign w:val="bottom"/>
            <w:gridSpan w:val="2"/>
          </w:tcPr>
          <w:p>
            <w:pPr>
              <w:spacing w:after="0" w:line="20" w:lineRule="exact"/>
              <w:rPr>
                <w:sz w:val="1"/>
                <w:szCs w:val="1"/>
                <w:color w:val="auto"/>
              </w:rPr>
            </w:pPr>
          </w:p>
        </w:tc>
        <w:tc>
          <w:tcPr>
            <w:tcW w:w="1040" w:type="dxa"/>
            <w:vAlign w:val="bottom"/>
            <w:gridSpan w:val="2"/>
          </w:tcPr>
          <w:p>
            <w:pPr>
              <w:spacing w:after="0" w:line="20" w:lineRule="exact"/>
              <w:rPr>
                <w:sz w:val="1"/>
                <w:szCs w:val="1"/>
                <w:color w:val="auto"/>
              </w:rPr>
            </w:pPr>
          </w:p>
        </w:tc>
        <w:tc>
          <w:tcPr>
            <w:tcW w:w="88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3"/>
        </w:trPr>
        <w:tc>
          <w:tcPr>
            <w:tcW w:w="5060" w:type="dxa"/>
            <w:vAlign w:val="bottom"/>
            <w:vMerge w:val="continue"/>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4"/>
                <w:szCs w:val="14"/>
                <w:b w:val="1"/>
                <w:bCs w:val="1"/>
                <w:color w:val="auto"/>
                <w:w w:val="96"/>
              </w:rPr>
              <w:t>1,663,827,242</w:t>
            </w:r>
          </w:p>
        </w:tc>
        <w:tc>
          <w:tcPr>
            <w:tcW w:w="20" w:type="dxa"/>
            <w:vAlign w:val="bottom"/>
            <w:tcBorders>
              <w:bottom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800" w:type="dxa"/>
            <w:vAlign w:val="bottom"/>
            <w:tcBorders>
              <w:top w:val="single" w:sz="8" w:color="auto"/>
            </w:tcBorders>
          </w:tcPr>
          <w:p>
            <w:pPr>
              <w:jc w:val="right"/>
              <w:spacing w:after="0" w:line="143" w:lineRule="exact"/>
              <w:rPr>
                <w:sz w:val="20"/>
                <w:szCs w:val="20"/>
                <w:color w:val="auto"/>
              </w:rPr>
            </w:pPr>
            <w:r>
              <w:rPr>
                <w:rFonts w:ascii="Arial" w:cs="Arial" w:eastAsia="Arial" w:hAnsi="Arial"/>
                <w:sz w:val="14"/>
                <w:szCs w:val="14"/>
                <w:b w:val="1"/>
                <w:bCs w:val="1"/>
                <w:color w:val="auto"/>
                <w:w w:val="89"/>
              </w:rPr>
              <w:t>(422,507,465)</w:t>
            </w:r>
          </w:p>
        </w:tc>
        <w:tc>
          <w:tcPr>
            <w:tcW w:w="180" w:type="dxa"/>
            <w:vAlign w:val="bottom"/>
          </w:tcPr>
          <w:p>
            <w:pPr>
              <w:spacing w:after="0"/>
              <w:rPr>
                <w:sz w:val="12"/>
                <w:szCs w:val="12"/>
                <w:color w:val="auto"/>
              </w:rPr>
            </w:pPr>
          </w:p>
        </w:tc>
        <w:tc>
          <w:tcPr>
            <w:tcW w:w="760" w:type="dxa"/>
            <w:vAlign w:val="bottom"/>
            <w:tcBorders>
              <w:top w:val="single" w:sz="8" w:color="auto"/>
            </w:tcBorders>
          </w:tcPr>
          <w:p>
            <w:pPr>
              <w:jc w:val="right"/>
              <w:spacing w:after="0" w:line="143" w:lineRule="exact"/>
              <w:rPr>
                <w:sz w:val="20"/>
                <w:szCs w:val="20"/>
                <w:color w:val="auto"/>
              </w:rPr>
            </w:pPr>
            <w:r>
              <w:rPr>
                <w:rFonts w:ascii="Arial" w:cs="Arial" w:eastAsia="Arial" w:hAnsi="Arial"/>
                <w:sz w:val="14"/>
                <w:szCs w:val="14"/>
                <w:b w:val="1"/>
                <w:bCs w:val="1"/>
                <w:color w:val="auto"/>
                <w:w w:val="93"/>
              </w:rPr>
              <w:t>(65,572,131)</w:t>
            </w:r>
          </w:p>
        </w:tc>
        <w:tc>
          <w:tcPr>
            <w:tcW w:w="180" w:type="dxa"/>
            <w:vAlign w:val="bottom"/>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4"/>
                <w:szCs w:val="14"/>
                <w:b w:val="1"/>
                <w:bCs w:val="1"/>
                <w:color w:val="auto"/>
                <w:w w:val="96"/>
              </w:rPr>
              <w:t>1,718,955,375</w:t>
            </w:r>
          </w:p>
        </w:tc>
        <w:tc>
          <w:tcPr>
            <w:tcW w:w="180" w:type="dxa"/>
            <w:vAlign w:val="bottom"/>
          </w:tcPr>
          <w:p>
            <w:pPr>
              <w:spacing w:after="0"/>
              <w:rPr>
                <w:sz w:val="12"/>
                <w:szCs w:val="12"/>
                <w:color w:val="auto"/>
              </w:rPr>
            </w:pPr>
          </w:p>
        </w:tc>
        <w:tc>
          <w:tcPr>
            <w:tcW w:w="880" w:type="dxa"/>
            <w:vAlign w:val="bottom"/>
            <w:tcBorders>
              <w:top w:val="single" w:sz="8" w:color="auto"/>
            </w:tcBorders>
          </w:tcPr>
          <w:p>
            <w:pPr>
              <w:jc w:val="right"/>
              <w:spacing w:after="0" w:line="143" w:lineRule="exact"/>
              <w:rPr>
                <w:sz w:val="20"/>
                <w:szCs w:val="20"/>
                <w:color w:val="auto"/>
              </w:rPr>
            </w:pPr>
            <w:r>
              <w:rPr>
                <w:rFonts w:ascii="Arial" w:cs="Arial" w:eastAsia="Arial" w:hAnsi="Arial"/>
                <w:sz w:val="14"/>
                <w:szCs w:val="14"/>
                <w:b w:val="1"/>
                <w:bCs w:val="1"/>
                <w:color w:val="auto"/>
                <w:w w:val="98"/>
              </w:rPr>
              <w:t>(170,499,726)</w:t>
            </w:r>
          </w:p>
        </w:tc>
        <w:tc>
          <w:tcPr>
            <w:tcW w:w="160" w:type="dxa"/>
            <w:vAlign w:val="bottom"/>
          </w:tcPr>
          <w:p>
            <w:pPr>
              <w:spacing w:after="0"/>
              <w:rPr>
                <w:sz w:val="12"/>
                <w:szCs w:val="12"/>
                <w:color w:val="auto"/>
              </w:rPr>
            </w:pPr>
          </w:p>
        </w:tc>
        <w:tc>
          <w:tcPr>
            <w:tcW w:w="780" w:type="dxa"/>
            <w:vAlign w:val="bottom"/>
            <w:tcBorders>
              <w:top w:val="single" w:sz="8" w:color="auto"/>
            </w:tcBorders>
          </w:tcPr>
          <w:p>
            <w:pPr>
              <w:jc w:val="right"/>
              <w:spacing w:after="0" w:line="143" w:lineRule="exact"/>
              <w:rPr>
                <w:sz w:val="20"/>
                <w:szCs w:val="20"/>
                <w:color w:val="auto"/>
              </w:rPr>
            </w:pPr>
            <w:r>
              <w:rPr>
                <w:rFonts w:ascii="Arial" w:cs="Arial" w:eastAsia="Arial" w:hAnsi="Arial"/>
                <w:sz w:val="14"/>
                <w:szCs w:val="14"/>
                <w:b w:val="1"/>
                <w:bCs w:val="1"/>
                <w:color w:val="auto"/>
                <w:w w:val="95"/>
              </w:rPr>
              <w:t>(26,461,141)</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506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48" w:lineRule="exact"/>
        <w:rPr>
          <w:sz w:val="20"/>
          <w:szCs w:val="20"/>
          <w:color w:val="auto"/>
        </w:rPr>
      </w:pPr>
    </w:p>
    <w:p>
      <w:pPr>
        <w:jc w:val="center"/>
        <w:ind w:right="20"/>
        <w:spacing w:after="0"/>
        <w:rPr>
          <w:sz w:val="20"/>
          <w:szCs w:val="20"/>
          <w:color w:val="auto"/>
        </w:rPr>
      </w:pPr>
      <w:r>
        <w:rPr>
          <w:rFonts w:ascii="Arial" w:cs="Arial" w:eastAsia="Arial" w:hAnsi="Arial"/>
          <w:sz w:val="18"/>
          <w:szCs w:val="18"/>
          <w:color w:val="auto"/>
        </w:rPr>
        <w:t>8</w:t>
      </w:r>
    </w:p>
    <w:p>
      <w:pPr>
        <w:sectPr>
          <w:pgSz w:w="11900" w:h="16838" w:orient="portrait"/>
          <w:cols w:equalWidth="0" w:num="1">
            <w:col w:w="11020"/>
          </w:cols>
          <w:pgMar w:left="440" w:top="270" w:right="439" w:bottom="1440" w:gutter="0" w:footer="0" w:header="0"/>
        </w:sectPr>
      </w:pPr>
    </w:p>
    <w:bookmarkStart w:id="11" w:name="page12"/>
    <w:bookmarkEnd w:id="11"/>
    <w:p>
      <w:pPr>
        <w:jc w:val="center"/>
        <w:ind w:right="2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74865" cy="38735"/>
                    </a:xfrm>
                    <a:prstGeom prst="rect">
                      <a:avLst/>
                    </a:prstGeom>
                    <a:noFill/>
                  </pic:spPr>
                </pic:pic>
              </a:graphicData>
            </a:graphic>
          </wp:anchor>
        </w:drawing>
        <w:t>CANGO INC.</w:t>
      </w:r>
    </w:p>
    <w:p>
      <w:pPr>
        <w:spacing w:after="0" w:line="27"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RECONCILIATIONS OF GAAP AND NON-GAAP RESULTS</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(Amounts in Renminbi (“RMB”) and US dollar (“US$”), except for number of shares and per share data</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4960" w:type="dxa"/>
            <w:vAlign w:val="bottom"/>
          </w:tcPr>
          <w:p>
            <w:pPr>
              <w:spacing w:after="0"/>
              <w:rPr>
                <w:sz w:val="14"/>
                <w:szCs w:val="14"/>
                <w:color w:val="auto"/>
              </w:rPr>
            </w:pPr>
          </w:p>
        </w:tc>
        <w:tc>
          <w:tcPr>
            <w:tcW w:w="2840" w:type="dxa"/>
            <w:vAlign w:val="bottom"/>
            <w:tcBorders>
              <w:bottom w:val="single" w:sz="8" w:color="auto"/>
            </w:tcBorders>
            <w:gridSpan w:val="5"/>
          </w:tcPr>
          <w:p>
            <w:pPr>
              <w:jc w:val="right"/>
              <w:ind w:right="268"/>
              <w:spacing w:after="0"/>
              <w:rPr>
                <w:sz w:val="20"/>
                <w:szCs w:val="20"/>
                <w:color w:val="auto"/>
              </w:rPr>
            </w:pPr>
            <w:r>
              <w:rPr>
                <w:rFonts w:ascii="Arial" w:cs="Arial" w:eastAsia="Arial" w:hAnsi="Arial"/>
                <w:sz w:val="14"/>
                <w:szCs w:val="14"/>
                <w:b w:val="1"/>
                <w:bCs w:val="1"/>
                <w:color w:val="auto"/>
              </w:rPr>
              <w:t>Three months ended September 30,</w:t>
            </w:r>
          </w:p>
        </w:tc>
        <w:tc>
          <w:tcPr>
            <w:tcW w:w="200" w:type="dxa"/>
            <w:vAlign w:val="bottom"/>
          </w:tcPr>
          <w:p>
            <w:pPr>
              <w:spacing w:after="0"/>
              <w:rPr>
                <w:sz w:val="14"/>
                <w:szCs w:val="14"/>
                <w:color w:val="auto"/>
              </w:rPr>
            </w:pPr>
          </w:p>
        </w:tc>
        <w:tc>
          <w:tcPr>
            <w:tcW w:w="2900" w:type="dxa"/>
            <w:vAlign w:val="bottom"/>
            <w:tcBorders>
              <w:bottom w:val="single" w:sz="8" w:color="auto"/>
            </w:tcBorders>
            <w:gridSpan w:val="5"/>
          </w:tcPr>
          <w:p>
            <w:pPr>
              <w:jc w:val="right"/>
              <w:ind w:right="328"/>
              <w:spacing w:after="0"/>
              <w:rPr>
                <w:sz w:val="20"/>
                <w:szCs w:val="20"/>
                <w:color w:val="auto"/>
              </w:rPr>
            </w:pPr>
            <w:r>
              <w:rPr>
                <w:rFonts w:ascii="Arial" w:cs="Arial" w:eastAsia="Arial" w:hAnsi="Arial"/>
                <w:sz w:val="14"/>
                <w:szCs w:val="14"/>
                <w:b w:val="1"/>
                <w:bCs w:val="1"/>
                <w:color w:val="auto"/>
              </w:rPr>
              <w:t>Nine months ended September 30,</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4960" w:type="dxa"/>
            <w:vAlign w:val="bottom"/>
          </w:tcPr>
          <w:p>
            <w:pPr>
              <w:spacing w:after="0"/>
              <w:rPr>
                <w:sz w:val="10"/>
                <w:szCs w:val="10"/>
                <w:color w:val="auto"/>
              </w:rPr>
            </w:pPr>
          </w:p>
        </w:tc>
        <w:tc>
          <w:tcPr>
            <w:tcW w:w="1020" w:type="dxa"/>
            <w:vAlign w:val="bottom"/>
            <w:gridSpan w:val="2"/>
          </w:tcPr>
          <w:p>
            <w:pPr>
              <w:jc w:val="center"/>
              <w:ind w:right="140"/>
              <w:spacing w:after="0" w:line="119" w:lineRule="exact"/>
              <w:rPr>
                <w:sz w:val="20"/>
                <w:szCs w:val="20"/>
                <w:color w:val="auto"/>
              </w:rPr>
            </w:pPr>
            <w:r>
              <w:rPr>
                <w:rFonts w:ascii="Arial" w:cs="Arial" w:eastAsia="Arial" w:hAnsi="Arial"/>
                <w:sz w:val="13"/>
                <w:szCs w:val="13"/>
                <w:b w:val="1"/>
                <w:bCs w:val="1"/>
                <w:color w:val="auto"/>
                <w:w w:val="98"/>
              </w:rPr>
              <w:t>September 30,</w:t>
            </w:r>
          </w:p>
        </w:tc>
        <w:tc>
          <w:tcPr>
            <w:tcW w:w="2020" w:type="dxa"/>
            <w:vAlign w:val="bottom"/>
            <w:gridSpan w:val="4"/>
            <w:vMerge w:val="restart"/>
          </w:tcPr>
          <w:p>
            <w:pPr>
              <w:jc w:val="right"/>
              <w:ind w:right="500"/>
              <w:spacing w:after="0"/>
              <w:rPr>
                <w:sz w:val="20"/>
                <w:szCs w:val="20"/>
                <w:color w:val="auto"/>
              </w:rPr>
            </w:pPr>
            <w:r>
              <w:rPr>
                <w:rFonts w:ascii="Arial" w:cs="Arial" w:eastAsia="Arial" w:hAnsi="Arial"/>
                <w:sz w:val="14"/>
                <w:szCs w:val="14"/>
                <w:b w:val="1"/>
                <w:bCs w:val="1"/>
                <w:color w:val="auto"/>
              </w:rPr>
              <w:t>September 30, 2021</w:t>
            </w:r>
          </w:p>
        </w:tc>
        <w:tc>
          <w:tcPr>
            <w:tcW w:w="1060" w:type="dxa"/>
            <w:vAlign w:val="bottom"/>
            <w:gridSpan w:val="2"/>
          </w:tcPr>
          <w:p>
            <w:pPr>
              <w:jc w:val="center"/>
              <w:ind w:right="140"/>
              <w:spacing w:after="0" w:line="119" w:lineRule="exact"/>
              <w:rPr>
                <w:sz w:val="20"/>
                <w:szCs w:val="20"/>
                <w:color w:val="auto"/>
              </w:rPr>
            </w:pPr>
            <w:r>
              <w:rPr>
                <w:rFonts w:ascii="Arial" w:cs="Arial" w:eastAsia="Arial" w:hAnsi="Arial"/>
                <w:sz w:val="13"/>
                <w:szCs w:val="13"/>
                <w:b w:val="1"/>
                <w:bCs w:val="1"/>
                <w:color w:val="auto"/>
                <w:w w:val="98"/>
              </w:rPr>
              <w:t>September 30,</w:t>
            </w:r>
          </w:p>
        </w:tc>
        <w:tc>
          <w:tcPr>
            <w:tcW w:w="1960" w:type="dxa"/>
            <w:vAlign w:val="bottom"/>
            <w:gridSpan w:val="4"/>
            <w:vMerge w:val="restart"/>
          </w:tcPr>
          <w:p>
            <w:pPr>
              <w:jc w:val="right"/>
              <w:ind w:right="440"/>
              <w:spacing w:after="0"/>
              <w:rPr>
                <w:sz w:val="20"/>
                <w:szCs w:val="20"/>
                <w:color w:val="auto"/>
              </w:rPr>
            </w:pPr>
            <w:r>
              <w:rPr>
                <w:rFonts w:ascii="Arial" w:cs="Arial" w:eastAsia="Arial" w:hAnsi="Arial"/>
                <w:sz w:val="14"/>
                <w:szCs w:val="14"/>
                <w:b w:val="1"/>
                <w:bCs w:val="1"/>
                <w:color w:val="auto"/>
              </w:rPr>
              <w:t>September 30, 2021</w:t>
            </w:r>
          </w:p>
        </w:tc>
        <w:tc>
          <w:tcPr>
            <w:tcW w:w="0" w:type="dxa"/>
            <w:vAlign w:val="bottom"/>
          </w:tcPr>
          <w:p>
            <w:pPr>
              <w:spacing w:after="0"/>
              <w:rPr>
                <w:sz w:val="1"/>
                <w:szCs w:val="1"/>
                <w:color w:val="auto"/>
              </w:rPr>
            </w:pPr>
          </w:p>
        </w:tc>
      </w:tr>
      <w:tr>
        <w:trPr>
          <w:trHeight w:val="148"/>
        </w:trPr>
        <w:tc>
          <w:tcPr>
            <w:tcW w:w="4960" w:type="dxa"/>
            <w:vAlign w:val="bottom"/>
          </w:tcPr>
          <w:p>
            <w:pPr>
              <w:spacing w:after="0"/>
              <w:rPr>
                <w:sz w:val="12"/>
                <w:szCs w:val="12"/>
                <w:color w:val="auto"/>
              </w:rPr>
            </w:pPr>
          </w:p>
        </w:tc>
        <w:tc>
          <w:tcPr>
            <w:tcW w:w="880" w:type="dxa"/>
            <w:vAlign w:val="bottom"/>
          </w:tcPr>
          <w:p>
            <w:pPr>
              <w:jc w:val="center"/>
              <w:spacing w:after="0" w:line="149" w:lineRule="exact"/>
              <w:rPr>
                <w:sz w:val="20"/>
                <w:szCs w:val="20"/>
                <w:color w:val="auto"/>
              </w:rPr>
            </w:pPr>
            <w:r>
              <w:rPr>
                <w:rFonts w:ascii="Arial" w:cs="Arial" w:eastAsia="Arial" w:hAnsi="Arial"/>
                <w:sz w:val="14"/>
                <w:szCs w:val="14"/>
                <w:b w:val="1"/>
                <w:bCs w:val="1"/>
                <w:color w:val="auto"/>
                <w:w w:val="89"/>
              </w:rPr>
              <w:t>2020</w:t>
            </w:r>
          </w:p>
        </w:tc>
        <w:tc>
          <w:tcPr>
            <w:tcW w:w="140" w:type="dxa"/>
            <w:vAlign w:val="bottom"/>
          </w:tcPr>
          <w:p>
            <w:pPr>
              <w:spacing w:after="0"/>
              <w:rPr>
                <w:sz w:val="12"/>
                <w:szCs w:val="12"/>
                <w:color w:val="auto"/>
              </w:rPr>
            </w:pPr>
          </w:p>
        </w:tc>
        <w:tc>
          <w:tcPr>
            <w:tcW w:w="2020" w:type="dxa"/>
            <w:vAlign w:val="bottom"/>
            <w:gridSpan w:val="4"/>
            <w:vMerge w:val="continue"/>
          </w:tcPr>
          <w:p>
            <w:pPr>
              <w:spacing w:after="0"/>
              <w:rPr>
                <w:sz w:val="12"/>
                <w:szCs w:val="12"/>
                <w:color w:val="auto"/>
              </w:rPr>
            </w:pPr>
          </w:p>
        </w:tc>
        <w:tc>
          <w:tcPr>
            <w:tcW w:w="900" w:type="dxa"/>
            <w:vAlign w:val="bottom"/>
          </w:tcPr>
          <w:p>
            <w:pPr>
              <w:jc w:val="center"/>
              <w:spacing w:after="0" w:line="149" w:lineRule="exact"/>
              <w:rPr>
                <w:sz w:val="20"/>
                <w:szCs w:val="20"/>
                <w:color w:val="auto"/>
              </w:rPr>
            </w:pPr>
            <w:r>
              <w:rPr>
                <w:rFonts w:ascii="Arial" w:cs="Arial" w:eastAsia="Arial" w:hAnsi="Arial"/>
                <w:sz w:val="14"/>
                <w:szCs w:val="14"/>
                <w:b w:val="1"/>
                <w:bCs w:val="1"/>
                <w:color w:val="auto"/>
                <w:w w:val="96"/>
              </w:rPr>
              <w:t>2020</w:t>
            </w:r>
          </w:p>
        </w:tc>
        <w:tc>
          <w:tcPr>
            <w:tcW w:w="160" w:type="dxa"/>
            <w:vAlign w:val="bottom"/>
          </w:tcPr>
          <w:p>
            <w:pPr>
              <w:spacing w:after="0"/>
              <w:rPr>
                <w:sz w:val="12"/>
                <w:szCs w:val="12"/>
                <w:color w:val="auto"/>
              </w:rPr>
            </w:pPr>
          </w:p>
        </w:tc>
        <w:tc>
          <w:tcPr>
            <w:tcW w:w="1960" w:type="dxa"/>
            <w:vAlign w:val="bottom"/>
            <w:gridSpan w:val="4"/>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4960" w:type="dxa"/>
            <w:vAlign w:val="bottom"/>
          </w:tcPr>
          <w:p>
            <w:pPr>
              <w:spacing w:after="0"/>
              <w:rPr>
                <w:sz w:val="12"/>
                <w:szCs w:val="12"/>
                <w:color w:val="auto"/>
              </w:rPr>
            </w:pPr>
          </w:p>
        </w:tc>
        <w:tc>
          <w:tcPr>
            <w:tcW w:w="1020" w:type="dxa"/>
            <w:vAlign w:val="bottom"/>
            <w:gridSpan w:val="2"/>
          </w:tcPr>
          <w:p>
            <w:pPr>
              <w:jc w:val="center"/>
              <w:ind w:right="160"/>
              <w:spacing w:after="0" w:line="149" w:lineRule="exact"/>
              <w:rPr>
                <w:sz w:val="20"/>
                <w:szCs w:val="20"/>
                <w:color w:val="auto"/>
              </w:rPr>
            </w:pPr>
            <w:r>
              <w:rPr>
                <w:rFonts w:ascii="Arial" w:cs="Arial" w:eastAsia="Arial" w:hAnsi="Arial"/>
                <w:sz w:val="14"/>
                <w:szCs w:val="14"/>
                <w:b w:val="1"/>
                <w:bCs w:val="1"/>
                <w:color w:val="auto"/>
                <w:w w:val="95"/>
              </w:rPr>
              <w:t>(Unaudited)</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b w:val="1"/>
                <w:bCs w:val="1"/>
                <w:color w:val="auto"/>
              </w:rPr>
              <w:t>(Unaudited)</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b w:val="1"/>
                <w:bCs w:val="1"/>
                <w:color w:val="auto"/>
                <w:w w:val="95"/>
              </w:rPr>
              <w:t>(Unaudited)</w:t>
            </w:r>
          </w:p>
        </w:tc>
        <w:tc>
          <w:tcPr>
            <w:tcW w:w="1060" w:type="dxa"/>
            <w:vAlign w:val="bottom"/>
            <w:gridSpan w:val="2"/>
          </w:tcPr>
          <w:p>
            <w:pPr>
              <w:jc w:val="center"/>
              <w:ind w:right="160"/>
              <w:spacing w:after="0" w:line="149" w:lineRule="exact"/>
              <w:rPr>
                <w:sz w:val="20"/>
                <w:szCs w:val="20"/>
                <w:color w:val="auto"/>
              </w:rPr>
            </w:pPr>
            <w:r>
              <w:rPr>
                <w:rFonts w:ascii="Arial" w:cs="Arial" w:eastAsia="Arial" w:hAnsi="Arial"/>
                <w:sz w:val="14"/>
                <w:szCs w:val="14"/>
                <w:b w:val="1"/>
                <w:bCs w:val="1"/>
                <w:color w:val="auto"/>
                <w:w w:val="95"/>
              </w:rPr>
              <w:t>(Unaudited)</w:t>
            </w:r>
          </w:p>
        </w:tc>
        <w:tc>
          <w:tcPr>
            <w:tcW w:w="1040" w:type="dxa"/>
            <w:vAlign w:val="bottom"/>
            <w:gridSpan w:val="2"/>
          </w:tcPr>
          <w:p>
            <w:pPr>
              <w:jc w:val="right"/>
              <w:ind w:right="260"/>
              <w:spacing w:after="0" w:line="149" w:lineRule="exact"/>
              <w:rPr>
                <w:sz w:val="20"/>
                <w:szCs w:val="20"/>
                <w:color w:val="auto"/>
              </w:rPr>
            </w:pPr>
            <w:r>
              <w:rPr>
                <w:rFonts w:ascii="Arial" w:cs="Arial" w:eastAsia="Arial" w:hAnsi="Arial"/>
                <w:sz w:val="14"/>
                <w:szCs w:val="14"/>
                <w:b w:val="1"/>
                <w:bCs w:val="1"/>
                <w:color w:val="auto"/>
                <w:w w:val="97"/>
              </w:rPr>
              <w:t>(Unaudited)</w:t>
            </w:r>
          </w:p>
        </w:tc>
        <w:tc>
          <w:tcPr>
            <w:tcW w:w="920" w:type="dxa"/>
            <w:vAlign w:val="bottom"/>
            <w:gridSpan w:val="2"/>
          </w:tcPr>
          <w:p>
            <w:pPr>
              <w:jc w:val="right"/>
              <w:ind w:right="140"/>
              <w:spacing w:after="0" w:line="149" w:lineRule="exact"/>
              <w:rPr>
                <w:sz w:val="20"/>
                <w:szCs w:val="20"/>
                <w:color w:val="auto"/>
              </w:rPr>
            </w:pPr>
            <w:r>
              <w:rPr>
                <w:rFonts w:ascii="Arial" w:cs="Arial" w:eastAsia="Arial" w:hAnsi="Arial"/>
                <w:sz w:val="14"/>
                <w:szCs w:val="14"/>
                <w:b w:val="1"/>
                <w:bCs w:val="1"/>
                <w:color w:val="auto"/>
                <w:w w:val="97"/>
              </w:rPr>
              <w:t>(Unaudited)</w:t>
            </w:r>
          </w:p>
        </w:tc>
        <w:tc>
          <w:tcPr>
            <w:tcW w:w="0" w:type="dxa"/>
            <w:vAlign w:val="bottom"/>
          </w:tcPr>
          <w:p>
            <w:pPr>
              <w:spacing w:after="0"/>
              <w:rPr>
                <w:sz w:val="1"/>
                <w:szCs w:val="1"/>
                <w:color w:val="auto"/>
              </w:rPr>
            </w:pPr>
          </w:p>
        </w:tc>
      </w:tr>
      <w:tr>
        <w:trPr>
          <w:trHeight w:val="171"/>
        </w:trPr>
        <w:tc>
          <w:tcPr>
            <w:tcW w:w="4960" w:type="dxa"/>
            <w:vAlign w:val="bottom"/>
          </w:tcPr>
          <w:p>
            <w:pPr>
              <w:spacing w:after="0"/>
              <w:rPr>
                <w:sz w:val="14"/>
                <w:szCs w:val="14"/>
                <w:color w:val="auto"/>
              </w:rPr>
            </w:pPr>
          </w:p>
        </w:tc>
        <w:tc>
          <w:tcPr>
            <w:tcW w:w="1020" w:type="dxa"/>
            <w:vAlign w:val="bottom"/>
            <w:gridSpan w:val="2"/>
          </w:tcPr>
          <w:p>
            <w:pPr>
              <w:jc w:val="center"/>
              <w:ind w:right="160"/>
              <w:spacing w:after="0"/>
              <w:rPr>
                <w:sz w:val="20"/>
                <w:szCs w:val="20"/>
                <w:color w:val="auto"/>
              </w:rPr>
            </w:pPr>
            <w:r>
              <w:rPr>
                <w:rFonts w:ascii="Arial" w:cs="Arial" w:eastAsia="Arial" w:hAnsi="Arial"/>
                <w:sz w:val="14"/>
                <w:szCs w:val="14"/>
                <w:b w:val="1"/>
                <w:bCs w:val="1"/>
                <w:color w:val="auto"/>
              </w:rPr>
              <w:t>RMB</w:t>
            </w:r>
          </w:p>
        </w:tc>
        <w:tc>
          <w:tcPr>
            <w:tcW w:w="104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RMB</w:t>
            </w:r>
          </w:p>
        </w:tc>
        <w:tc>
          <w:tcPr>
            <w:tcW w:w="98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US$</w:t>
            </w:r>
          </w:p>
        </w:tc>
        <w:tc>
          <w:tcPr>
            <w:tcW w:w="1060" w:type="dxa"/>
            <w:vAlign w:val="bottom"/>
            <w:gridSpan w:val="2"/>
          </w:tcPr>
          <w:p>
            <w:pPr>
              <w:jc w:val="center"/>
              <w:ind w:right="160"/>
              <w:spacing w:after="0"/>
              <w:rPr>
                <w:sz w:val="20"/>
                <w:szCs w:val="20"/>
                <w:color w:val="auto"/>
              </w:rPr>
            </w:pPr>
            <w:r>
              <w:rPr>
                <w:rFonts w:ascii="Arial" w:cs="Arial" w:eastAsia="Arial" w:hAnsi="Arial"/>
                <w:sz w:val="14"/>
                <w:szCs w:val="14"/>
                <w:b w:val="1"/>
                <w:bCs w:val="1"/>
                <w:color w:val="auto"/>
              </w:rPr>
              <w:t>RMB</w:t>
            </w:r>
          </w:p>
        </w:tc>
        <w:tc>
          <w:tcPr>
            <w:tcW w:w="104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RMB</w:t>
            </w:r>
          </w:p>
        </w:tc>
        <w:tc>
          <w:tcPr>
            <w:tcW w:w="920" w:type="dxa"/>
            <w:vAlign w:val="bottom"/>
            <w:gridSpan w:val="2"/>
          </w:tcPr>
          <w:p>
            <w:pPr>
              <w:jc w:val="right"/>
              <w:ind w:right="400"/>
              <w:spacing w:after="0"/>
              <w:rPr>
                <w:sz w:val="20"/>
                <w:szCs w:val="20"/>
                <w:color w:val="auto"/>
              </w:rPr>
            </w:pPr>
            <w:r>
              <w:rPr>
                <w:rFonts w:ascii="Arial" w:cs="Arial" w:eastAsia="Arial" w:hAnsi="Arial"/>
                <w:sz w:val="14"/>
                <w:szCs w:val="14"/>
                <w:b w:val="1"/>
                <w:bCs w:val="1"/>
                <w:color w:val="auto"/>
              </w:rPr>
              <w:t>US$</w:t>
            </w:r>
          </w:p>
        </w:tc>
        <w:tc>
          <w:tcPr>
            <w:tcW w:w="0" w:type="dxa"/>
            <w:vAlign w:val="bottom"/>
          </w:tcPr>
          <w:p>
            <w:pPr>
              <w:spacing w:after="0"/>
              <w:rPr>
                <w:sz w:val="1"/>
                <w:szCs w:val="1"/>
                <w:color w:val="auto"/>
              </w:rPr>
            </w:pPr>
          </w:p>
        </w:tc>
      </w:tr>
      <w:tr>
        <w:trPr>
          <w:trHeight w:val="148"/>
        </w:trPr>
        <w:tc>
          <w:tcPr>
            <w:tcW w:w="49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Net income</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b w:val="1"/>
                <w:bCs w:val="1"/>
                <w:color w:val="auto"/>
                <w:w w:val="96"/>
              </w:rPr>
              <w:t>1,769,382,547</w:t>
            </w:r>
          </w:p>
        </w:tc>
        <w:tc>
          <w:tcPr>
            <w:tcW w:w="10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w w:val="98"/>
              </w:rPr>
              <w:t>(416,537,720)</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rPr>
              <w:t>(64,645,641)</w:t>
            </w:r>
          </w:p>
        </w:tc>
        <w:tc>
          <w:tcPr>
            <w:tcW w:w="10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w w:val="98"/>
              </w:rPr>
              <w:t>1,804,927,326</w:t>
            </w:r>
          </w:p>
        </w:tc>
        <w:tc>
          <w:tcPr>
            <w:tcW w:w="10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w w:val="98"/>
              </w:rPr>
              <w:t>(132,671,392)</w:t>
            </w:r>
          </w:p>
        </w:tc>
        <w:tc>
          <w:tcPr>
            <w:tcW w:w="9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b w:val="1"/>
                <w:bCs w:val="1"/>
                <w:color w:val="auto"/>
              </w:rPr>
              <w:t>(20,590,276)</w:t>
            </w:r>
          </w:p>
        </w:tc>
        <w:tc>
          <w:tcPr>
            <w:tcW w:w="0" w:type="dxa"/>
            <w:vAlign w:val="bottom"/>
          </w:tcPr>
          <w:p>
            <w:pPr>
              <w:spacing w:after="0"/>
              <w:rPr>
                <w:sz w:val="1"/>
                <w:szCs w:val="1"/>
                <w:color w:val="auto"/>
              </w:rPr>
            </w:pPr>
          </w:p>
        </w:tc>
      </w:tr>
      <w:tr>
        <w:trPr>
          <w:trHeight w:val="148"/>
        </w:trPr>
        <w:tc>
          <w:tcPr>
            <w:tcW w:w="4960" w:type="dxa"/>
            <w:vAlign w:val="bottom"/>
          </w:tcPr>
          <w:p>
            <w:pPr>
              <w:spacing w:after="0" w:line="149" w:lineRule="exact"/>
              <w:rPr>
                <w:sz w:val="20"/>
                <w:szCs w:val="20"/>
                <w:color w:val="auto"/>
              </w:rPr>
            </w:pPr>
            <w:r>
              <w:rPr>
                <w:rFonts w:ascii="Arial" w:cs="Arial" w:eastAsia="Arial" w:hAnsi="Arial"/>
                <w:sz w:val="14"/>
                <w:szCs w:val="14"/>
                <w:b w:val="1"/>
                <w:bCs w:val="1"/>
                <w:color w:val="auto"/>
              </w:rPr>
              <w:t>Add: Share-based compensation expenses</w:t>
            </w:r>
          </w:p>
        </w:tc>
        <w:tc>
          <w:tcPr>
            <w:tcW w:w="1020" w:type="dxa"/>
            <w:vAlign w:val="bottom"/>
            <w:gridSpan w:val="2"/>
          </w:tcPr>
          <w:p>
            <w:pPr>
              <w:jc w:val="right"/>
              <w:ind w:right="140"/>
              <w:spacing w:after="0" w:line="149" w:lineRule="exact"/>
              <w:rPr>
                <w:sz w:val="20"/>
                <w:szCs w:val="20"/>
                <w:color w:val="auto"/>
              </w:rPr>
            </w:pPr>
            <w:r>
              <w:rPr>
                <w:rFonts w:ascii="Arial" w:cs="Arial" w:eastAsia="Arial" w:hAnsi="Arial"/>
                <w:sz w:val="14"/>
                <w:szCs w:val="14"/>
                <w:b w:val="1"/>
                <w:bCs w:val="1"/>
                <w:color w:val="auto"/>
              </w:rPr>
              <w:t>13,853,582</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rPr>
              <w:t>24,011,050</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rPr>
              <w:t>3,726,457</w:t>
            </w:r>
          </w:p>
        </w:tc>
        <w:tc>
          <w:tcPr>
            <w:tcW w:w="1060" w:type="dxa"/>
            <w:vAlign w:val="bottom"/>
            <w:gridSpan w:val="2"/>
          </w:tcPr>
          <w:p>
            <w:pPr>
              <w:jc w:val="right"/>
              <w:ind w:right="160"/>
              <w:spacing w:after="0" w:line="149" w:lineRule="exact"/>
              <w:rPr>
                <w:sz w:val="20"/>
                <w:szCs w:val="20"/>
                <w:color w:val="auto"/>
              </w:rPr>
            </w:pPr>
            <w:r>
              <w:rPr>
                <w:rFonts w:ascii="Arial" w:cs="Arial" w:eastAsia="Arial" w:hAnsi="Arial"/>
                <w:sz w:val="14"/>
                <w:szCs w:val="14"/>
                <w:b w:val="1"/>
                <w:bCs w:val="1"/>
                <w:color w:val="auto"/>
              </w:rPr>
              <w:t>59,268,760</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rPr>
              <w:t>64,444,353</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b w:val="1"/>
                <w:bCs w:val="1"/>
                <w:color w:val="auto"/>
              </w:rPr>
              <w:t>10,001,607</w:t>
            </w:r>
          </w:p>
        </w:tc>
        <w:tc>
          <w:tcPr>
            <w:tcW w:w="0" w:type="dxa"/>
            <w:vAlign w:val="bottom"/>
          </w:tcPr>
          <w:p>
            <w:pPr>
              <w:spacing w:after="0"/>
              <w:rPr>
                <w:sz w:val="1"/>
                <w:szCs w:val="1"/>
                <w:color w:val="auto"/>
              </w:rPr>
            </w:pPr>
          </w:p>
        </w:tc>
      </w:tr>
      <w:tr>
        <w:trPr>
          <w:trHeight w:val="148"/>
        </w:trPr>
        <w:tc>
          <w:tcPr>
            <w:tcW w:w="4960" w:type="dxa"/>
            <w:vAlign w:val="bottom"/>
            <w:shd w:val="clear" w:color="auto" w:fill="CCEEFF"/>
          </w:tcPr>
          <w:p>
            <w:pPr>
              <w:ind w:left="280"/>
              <w:spacing w:after="0" w:line="149" w:lineRule="exact"/>
              <w:rPr>
                <w:sz w:val="20"/>
                <w:szCs w:val="20"/>
                <w:color w:val="auto"/>
              </w:rPr>
            </w:pPr>
            <w:r>
              <w:rPr>
                <w:rFonts w:ascii="Arial" w:cs="Arial" w:eastAsia="Arial" w:hAnsi="Arial"/>
                <w:sz w:val="14"/>
                <w:szCs w:val="14"/>
                <w:b w:val="1"/>
                <w:bCs w:val="1"/>
                <w:color w:val="auto"/>
              </w:rPr>
              <w:t>Cost of revenue</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b w:val="1"/>
                <w:bCs w:val="1"/>
                <w:color w:val="auto"/>
              </w:rPr>
              <w:t>567,997</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b w:val="1"/>
                <w:bCs w:val="1"/>
                <w:color w:val="auto"/>
              </w:rPr>
              <w:t>1,512,966</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b w:val="1"/>
                <w:bCs w:val="1"/>
                <w:color w:val="auto"/>
              </w:rPr>
              <w:t>234,809</w:t>
            </w:r>
          </w:p>
        </w:tc>
        <w:tc>
          <w:tcPr>
            <w:tcW w:w="10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rPr>
              <w:t>2,430,021</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b w:val="1"/>
                <w:bCs w:val="1"/>
                <w:color w:val="auto"/>
              </w:rPr>
              <w:t>2,967,623</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b w:val="1"/>
                <w:bCs w:val="1"/>
                <w:color w:val="auto"/>
              </w:rPr>
              <w:t>460,568</w:t>
            </w:r>
          </w:p>
        </w:tc>
        <w:tc>
          <w:tcPr>
            <w:tcW w:w="0" w:type="dxa"/>
            <w:vAlign w:val="bottom"/>
          </w:tcPr>
          <w:p>
            <w:pPr>
              <w:spacing w:after="0"/>
              <w:rPr>
                <w:sz w:val="1"/>
                <w:szCs w:val="1"/>
                <w:color w:val="auto"/>
              </w:rPr>
            </w:pPr>
          </w:p>
        </w:tc>
      </w:tr>
      <w:tr>
        <w:trPr>
          <w:trHeight w:val="149"/>
        </w:trPr>
        <w:tc>
          <w:tcPr>
            <w:tcW w:w="4960" w:type="dxa"/>
            <w:vAlign w:val="bottom"/>
          </w:tcPr>
          <w:p>
            <w:pPr>
              <w:ind w:left="280"/>
              <w:spacing w:after="0" w:line="149" w:lineRule="exact"/>
              <w:rPr>
                <w:sz w:val="20"/>
                <w:szCs w:val="20"/>
                <w:color w:val="auto"/>
              </w:rPr>
            </w:pPr>
            <w:r>
              <w:rPr>
                <w:rFonts w:ascii="Arial" w:cs="Arial" w:eastAsia="Arial" w:hAnsi="Arial"/>
                <w:sz w:val="14"/>
                <w:szCs w:val="14"/>
                <w:b w:val="1"/>
                <w:bCs w:val="1"/>
                <w:color w:val="auto"/>
              </w:rPr>
              <w:t>Sales and marketing</w:t>
            </w:r>
          </w:p>
        </w:tc>
        <w:tc>
          <w:tcPr>
            <w:tcW w:w="1020" w:type="dxa"/>
            <w:vAlign w:val="bottom"/>
            <w:gridSpan w:val="2"/>
          </w:tcPr>
          <w:p>
            <w:pPr>
              <w:jc w:val="right"/>
              <w:ind w:right="140"/>
              <w:spacing w:after="0" w:line="149" w:lineRule="exact"/>
              <w:rPr>
                <w:sz w:val="20"/>
                <w:szCs w:val="20"/>
                <w:color w:val="auto"/>
              </w:rPr>
            </w:pPr>
            <w:r>
              <w:rPr>
                <w:rFonts w:ascii="Arial" w:cs="Arial" w:eastAsia="Arial" w:hAnsi="Arial"/>
                <w:sz w:val="14"/>
                <w:szCs w:val="14"/>
                <w:b w:val="1"/>
                <w:bCs w:val="1"/>
                <w:color w:val="auto"/>
              </w:rPr>
              <w:t>2,950,813</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rPr>
              <w:t>4,049,203</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rPr>
              <w:t>628,426</w:t>
            </w:r>
          </w:p>
        </w:tc>
        <w:tc>
          <w:tcPr>
            <w:tcW w:w="1060" w:type="dxa"/>
            <w:vAlign w:val="bottom"/>
            <w:gridSpan w:val="2"/>
          </w:tcPr>
          <w:p>
            <w:pPr>
              <w:jc w:val="right"/>
              <w:ind w:right="160"/>
              <w:spacing w:after="0" w:line="149" w:lineRule="exact"/>
              <w:rPr>
                <w:sz w:val="20"/>
                <w:szCs w:val="20"/>
                <w:color w:val="auto"/>
              </w:rPr>
            </w:pPr>
            <w:r>
              <w:rPr>
                <w:rFonts w:ascii="Arial" w:cs="Arial" w:eastAsia="Arial" w:hAnsi="Arial"/>
                <w:sz w:val="14"/>
                <w:szCs w:val="14"/>
                <w:b w:val="1"/>
                <w:bCs w:val="1"/>
                <w:color w:val="auto"/>
              </w:rPr>
              <w:t>12,624,245</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rPr>
              <w:t>11,570,258</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b w:val="1"/>
                <w:bCs w:val="1"/>
                <w:color w:val="auto"/>
              </w:rPr>
              <w:t>1,795,676</w:t>
            </w:r>
          </w:p>
        </w:tc>
        <w:tc>
          <w:tcPr>
            <w:tcW w:w="0" w:type="dxa"/>
            <w:vAlign w:val="bottom"/>
          </w:tcPr>
          <w:p>
            <w:pPr>
              <w:spacing w:after="0"/>
              <w:rPr>
                <w:sz w:val="1"/>
                <w:szCs w:val="1"/>
                <w:color w:val="auto"/>
              </w:rPr>
            </w:pPr>
          </w:p>
        </w:tc>
      </w:tr>
      <w:tr>
        <w:trPr>
          <w:trHeight w:val="148"/>
        </w:trPr>
        <w:tc>
          <w:tcPr>
            <w:tcW w:w="4960" w:type="dxa"/>
            <w:vAlign w:val="bottom"/>
            <w:shd w:val="clear" w:color="auto" w:fill="CCEEFF"/>
          </w:tcPr>
          <w:p>
            <w:pPr>
              <w:ind w:left="280"/>
              <w:spacing w:after="0" w:line="149" w:lineRule="exact"/>
              <w:rPr>
                <w:sz w:val="20"/>
                <w:szCs w:val="20"/>
                <w:color w:val="auto"/>
              </w:rPr>
            </w:pPr>
            <w:r>
              <w:rPr>
                <w:rFonts w:ascii="Arial" w:cs="Arial" w:eastAsia="Arial" w:hAnsi="Arial"/>
                <w:sz w:val="14"/>
                <w:szCs w:val="14"/>
                <w:b w:val="1"/>
                <w:bCs w:val="1"/>
                <w:color w:val="auto"/>
              </w:rPr>
              <w:t>General and administrative</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b w:val="1"/>
                <w:bCs w:val="1"/>
                <w:color w:val="auto"/>
              </w:rPr>
              <w:t>9,614,385</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b w:val="1"/>
                <w:bCs w:val="1"/>
                <w:color w:val="auto"/>
              </w:rPr>
              <w:t>17,209,292</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b w:val="1"/>
                <w:bCs w:val="1"/>
                <w:color w:val="auto"/>
              </w:rPr>
              <w:t>2,670,841</w:t>
            </w:r>
          </w:p>
        </w:tc>
        <w:tc>
          <w:tcPr>
            <w:tcW w:w="10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rPr>
              <w:t>41,132,513</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b w:val="1"/>
                <w:bCs w:val="1"/>
                <w:color w:val="auto"/>
              </w:rPr>
              <w:t>46,888,274</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b w:val="1"/>
                <w:bCs w:val="1"/>
                <w:color w:val="auto"/>
              </w:rPr>
              <w:t>7,276,946</w:t>
            </w:r>
          </w:p>
        </w:tc>
        <w:tc>
          <w:tcPr>
            <w:tcW w:w="0" w:type="dxa"/>
            <w:vAlign w:val="bottom"/>
          </w:tcPr>
          <w:p>
            <w:pPr>
              <w:spacing w:after="0"/>
              <w:rPr>
                <w:sz w:val="1"/>
                <w:szCs w:val="1"/>
                <w:color w:val="auto"/>
              </w:rPr>
            </w:pPr>
          </w:p>
        </w:tc>
      </w:tr>
      <w:tr>
        <w:trPr>
          <w:trHeight w:val="148"/>
        </w:trPr>
        <w:tc>
          <w:tcPr>
            <w:tcW w:w="4960" w:type="dxa"/>
            <w:vAlign w:val="bottom"/>
          </w:tcPr>
          <w:p>
            <w:pPr>
              <w:ind w:left="280"/>
              <w:spacing w:after="0" w:line="149" w:lineRule="exact"/>
              <w:rPr>
                <w:sz w:val="20"/>
                <w:szCs w:val="20"/>
                <w:color w:val="auto"/>
              </w:rPr>
            </w:pPr>
            <w:r>
              <w:rPr>
                <w:rFonts w:ascii="Arial" w:cs="Arial" w:eastAsia="Arial" w:hAnsi="Arial"/>
                <w:sz w:val="14"/>
                <w:szCs w:val="14"/>
                <w:b w:val="1"/>
                <w:bCs w:val="1"/>
                <w:color w:val="auto"/>
              </w:rPr>
              <w:t>Research and development</w:t>
            </w:r>
          </w:p>
        </w:tc>
        <w:tc>
          <w:tcPr>
            <w:tcW w:w="1020" w:type="dxa"/>
            <w:vAlign w:val="bottom"/>
            <w:gridSpan w:val="2"/>
          </w:tcPr>
          <w:p>
            <w:pPr>
              <w:jc w:val="right"/>
              <w:ind w:right="140"/>
              <w:spacing w:after="0" w:line="149" w:lineRule="exact"/>
              <w:rPr>
                <w:sz w:val="20"/>
                <w:szCs w:val="20"/>
                <w:color w:val="auto"/>
              </w:rPr>
            </w:pPr>
            <w:r>
              <w:rPr>
                <w:rFonts w:ascii="Arial" w:cs="Arial" w:eastAsia="Arial" w:hAnsi="Arial"/>
                <w:sz w:val="14"/>
                <w:szCs w:val="14"/>
                <w:b w:val="1"/>
                <w:bCs w:val="1"/>
                <w:color w:val="auto"/>
              </w:rPr>
              <w:t>720,387</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rPr>
              <w:t>1,239,589</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rPr>
              <w:t>192,381</w:t>
            </w:r>
          </w:p>
        </w:tc>
        <w:tc>
          <w:tcPr>
            <w:tcW w:w="1060" w:type="dxa"/>
            <w:vAlign w:val="bottom"/>
            <w:gridSpan w:val="2"/>
          </w:tcPr>
          <w:p>
            <w:pPr>
              <w:jc w:val="right"/>
              <w:ind w:right="160"/>
              <w:spacing w:after="0" w:line="149" w:lineRule="exact"/>
              <w:rPr>
                <w:sz w:val="20"/>
                <w:szCs w:val="20"/>
                <w:color w:val="auto"/>
              </w:rPr>
            </w:pPr>
            <w:r>
              <w:rPr>
                <w:rFonts w:ascii="Arial" w:cs="Arial" w:eastAsia="Arial" w:hAnsi="Arial"/>
                <w:sz w:val="14"/>
                <w:szCs w:val="14"/>
                <w:b w:val="1"/>
                <w:bCs w:val="1"/>
                <w:color w:val="auto"/>
              </w:rPr>
              <w:t>3,081,981</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rPr>
              <w:t>3,018,198</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b w:val="1"/>
                <w:bCs w:val="1"/>
                <w:color w:val="auto"/>
              </w:rPr>
              <w:t>468,417</w:t>
            </w:r>
          </w:p>
        </w:tc>
        <w:tc>
          <w:tcPr>
            <w:tcW w:w="0" w:type="dxa"/>
            <w:vAlign w:val="bottom"/>
          </w:tcPr>
          <w:p>
            <w:pPr>
              <w:spacing w:after="0"/>
              <w:rPr>
                <w:sz w:val="1"/>
                <w:szCs w:val="1"/>
                <w:color w:val="auto"/>
              </w:rPr>
            </w:pPr>
          </w:p>
        </w:tc>
      </w:tr>
      <w:tr>
        <w:trPr>
          <w:trHeight w:val="27"/>
        </w:trPr>
        <w:tc>
          <w:tcPr>
            <w:tcW w:w="496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140" w:type="dxa"/>
            <w:vAlign w:val="bottom"/>
          </w:tcPr>
          <w:p>
            <w:pPr>
              <w:spacing w:after="0"/>
              <w:rPr>
                <w:sz w:val="2"/>
                <w:szCs w:val="2"/>
                <w:color w:val="auto"/>
              </w:rPr>
            </w:pPr>
          </w:p>
        </w:tc>
        <w:tc>
          <w:tcPr>
            <w:tcW w:w="84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78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900" w:type="dxa"/>
            <w:vAlign w:val="bottom"/>
            <w:shd w:val="clear" w:color="auto" w:fill="000000"/>
          </w:tcPr>
          <w:p>
            <w:pPr>
              <w:spacing w:after="0"/>
              <w:rPr>
                <w:sz w:val="2"/>
                <w:szCs w:val="2"/>
                <w:color w:val="auto"/>
              </w:rPr>
            </w:pPr>
          </w:p>
        </w:tc>
        <w:tc>
          <w:tcPr>
            <w:tcW w:w="160" w:type="dxa"/>
            <w:vAlign w:val="bottom"/>
          </w:tcPr>
          <w:p>
            <w:pPr>
              <w:spacing w:after="0"/>
              <w:rPr>
                <w:sz w:val="2"/>
                <w:szCs w:val="2"/>
                <w:color w:val="auto"/>
              </w:rPr>
            </w:pPr>
          </w:p>
        </w:tc>
        <w:tc>
          <w:tcPr>
            <w:tcW w:w="84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49"/>
        </w:trPr>
        <w:tc>
          <w:tcPr>
            <w:tcW w:w="49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Non-GAAP adjusted net income</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b w:val="1"/>
                <w:bCs w:val="1"/>
                <w:color w:val="auto"/>
                <w:w w:val="96"/>
              </w:rPr>
              <w:t>1,783,236,129</w:t>
            </w:r>
          </w:p>
        </w:tc>
        <w:tc>
          <w:tcPr>
            <w:tcW w:w="10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w w:val="98"/>
              </w:rPr>
              <w:t>(392,526,670)</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rPr>
              <w:t>(60,919,184)</w:t>
            </w:r>
          </w:p>
        </w:tc>
        <w:tc>
          <w:tcPr>
            <w:tcW w:w="10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w w:val="98"/>
              </w:rPr>
              <w:t>1,864,196,086</w:t>
            </w:r>
          </w:p>
        </w:tc>
        <w:tc>
          <w:tcPr>
            <w:tcW w:w="10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rPr>
              <w:t>(68,227,039)</w:t>
            </w:r>
          </w:p>
        </w:tc>
        <w:tc>
          <w:tcPr>
            <w:tcW w:w="9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b w:val="1"/>
                <w:bCs w:val="1"/>
                <w:color w:val="auto"/>
              </w:rPr>
              <w:t>(10,588,669)</w:t>
            </w:r>
          </w:p>
        </w:tc>
        <w:tc>
          <w:tcPr>
            <w:tcW w:w="0" w:type="dxa"/>
            <w:vAlign w:val="bottom"/>
          </w:tcPr>
          <w:p>
            <w:pPr>
              <w:spacing w:after="0"/>
              <w:rPr>
                <w:sz w:val="1"/>
                <w:szCs w:val="1"/>
                <w:color w:val="auto"/>
              </w:rPr>
            </w:pPr>
          </w:p>
        </w:tc>
      </w:tr>
      <w:tr>
        <w:trPr>
          <w:trHeight w:val="20"/>
        </w:trPr>
        <w:tc>
          <w:tcPr>
            <w:tcW w:w="4960" w:type="dxa"/>
            <w:vAlign w:val="bottom"/>
            <w:vMerge w:val="restart"/>
          </w:tcPr>
          <w:p>
            <w:pPr>
              <w:spacing w:after="0"/>
              <w:rPr>
                <w:sz w:val="20"/>
                <w:szCs w:val="20"/>
                <w:color w:val="auto"/>
              </w:rPr>
            </w:pPr>
            <w:r>
              <w:rPr>
                <w:rFonts w:ascii="Arial" w:cs="Arial" w:eastAsia="Arial" w:hAnsi="Arial"/>
                <w:sz w:val="14"/>
                <w:szCs w:val="14"/>
                <w:b w:val="1"/>
                <w:bCs w:val="1"/>
                <w:color w:val="auto"/>
              </w:rPr>
              <w:t>Less: Net income attributable to non-controlling interests</w:t>
            </w:r>
          </w:p>
        </w:tc>
        <w:tc>
          <w:tcPr>
            <w:tcW w:w="8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3"/>
        </w:trPr>
        <w:tc>
          <w:tcPr>
            <w:tcW w:w="4960" w:type="dxa"/>
            <w:vAlign w:val="bottom"/>
            <w:vMerge w:val="continue"/>
          </w:tcPr>
          <w:p>
            <w:pPr>
              <w:spacing w:after="0"/>
              <w:rPr>
                <w:sz w:val="12"/>
                <w:szCs w:val="12"/>
                <w:color w:val="auto"/>
              </w:rPr>
            </w:pPr>
          </w:p>
        </w:tc>
        <w:tc>
          <w:tcPr>
            <w:tcW w:w="880" w:type="dxa"/>
            <w:vAlign w:val="bottom"/>
          </w:tcPr>
          <w:p>
            <w:pPr>
              <w:jc w:val="right"/>
              <w:spacing w:after="0" w:line="143" w:lineRule="exact"/>
              <w:rPr>
                <w:sz w:val="20"/>
                <w:szCs w:val="20"/>
                <w:color w:val="auto"/>
              </w:rPr>
            </w:pPr>
            <w:r>
              <w:rPr>
                <w:rFonts w:ascii="Arial" w:cs="Arial" w:eastAsia="Arial" w:hAnsi="Arial"/>
                <w:sz w:val="14"/>
                <w:szCs w:val="14"/>
                <w:b w:val="1"/>
                <w:bCs w:val="1"/>
                <w:color w:val="auto"/>
              </w:rPr>
              <w:t>256,018</w:t>
            </w:r>
          </w:p>
        </w:tc>
        <w:tc>
          <w:tcPr>
            <w:tcW w:w="140" w:type="dxa"/>
            <w:vAlign w:val="bottom"/>
          </w:tcPr>
          <w:p>
            <w:pPr>
              <w:spacing w:after="0"/>
              <w:rPr>
                <w:sz w:val="12"/>
                <w:szCs w:val="12"/>
                <w:color w:val="auto"/>
              </w:rPr>
            </w:pPr>
          </w:p>
        </w:tc>
        <w:tc>
          <w:tcPr>
            <w:tcW w:w="840" w:type="dxa"/>
            <w:vAlign w:val="bottom"/>
          </w:tcPr>
          <w:p>
            <w:pPr>
              <w:jc w:val="right"/>
              <w:ind w:right="8"/>
              <w:spacing w:after="0" w:line="143" w:lineRule="exact"/>
              <w:rPr>
                <w:sz w:val="20"/>
                <w:szCs w:val="20"/>
                <w:color w:val="auto"/>
              </w:rPr>
            </w:pPr>
            <w:r>
              <w:rPr>
                <w:rFonts w:ascii="Arial" w:cs="Arial" w:eastAsia="Arial" w:hAnsi="Arial"/>
                <w:sz w:val="14"/>
                <w:szCs w:val="14"/>
                <w:b w:val="1"/>
                <w:bCs w:val="1"/>
                <w:color w:val="auto"/>
              </w:rPr>
              <w:t>—</w:t>
            </w:r>
          </w:p>
        </w:tc>
        <w:tc>
          <w:tcPr>
            <w:tcW w:w="200" w:type="dxa"/>
            <w:vAlign w:val="bottom"/>
          </w:tcPr>
          <w:p>
            <w:pPr>
              <w:spacing w:after="0"/>
              <w:rPr>
                <w:sz w:val="12"/>
                <w:szCs w:val="12"/>
                <w:color w:val="auto"/>
              </w:rPr>
            </w:pPr>
          </w:p>
        </w:tc>
        <w:tc>
          <w:tcPr>
            <w:tcW w:w="780" w:type="dxa"/>
            <w:vAlign w:val="bottom"/>
          </w:tcPr>
          <w:p>
            <w:pPr>
              <w:jc w:val="right"/>
              <w:ind w:right="8"/>
              <w:spacing w:after="0" w:line="143" w:lineRule="exact"/>
              <w:rPr>
                <w:sz w:val="20"/>
                <w:szCs w:val="20"/>
                <w:color w:val="auto"/>
              </w:rPr>
            </w:pPr>
            <w:r>
              <w:rPr>
                <w:rFonts w:ascii="Arial" w:cs="Arial" w:eastAsia="Arial" w:hAnsi="Arial"/>
                <w:sz w:val="14"/>
                <w:szCs w:val="14"/>
                <w:b w:val="1"/>
                <w:bCs w:val="1"/>
                <w:color w:val="auto"/>
              </w:rPr>
              <w:t>—</w:t>
            </w:r>
          </w:p>
        </w:tc>
        <w:tc>
          <w:tcPr>
            <w:tcW w:w="200" w:type="dxa"/>
            <w:vAlign w:val="bottom"/>
          </w:tcPr>
          <w:p>
            <w:pPr>
              <w:spacing w:after="0"/>
              <w:rPr>
                <w:sz w:val="12"/>
                <w:szCs w:val="12"/>
                <w:color w:val="auto"/>
              </w:rPr>
            </w:pPr>
          </w:p>
        </w:tc>
        <w:tc>
          <w:tcPr>
            <w:tcW w:w="900" w:type="dxa"/>
            <w:vAlign w:val="bottom"/>
          </w:tcPr>
          <w:p>
            <w:pPr>
              <w:jc w:val="right"/>
              <w:spacing w:after="0" w:line="143" w:lineRule="exact"/>
              <w:rPr>
                <w:sz w:val="20"/>
                <w:szCs w:val="20"/>
                <w:color w:val="auto"/>
              </w:rPr>
            </w:pPr>
            <w:r>
              <w:rPr>
                <w:rFonts w:ascii="Arial" w:cs="Arial" w:eastAsia="Arial" w:hAnsi="Arial"/>
                <w:sz w:val="14"/>
                <w:szCs w:val="14"/>
                <w:b w:val="1"/>
                <w:bCs w:val="1"/>
                <w:color w:val="auto"/>
              </w:rPr>
              <w:t>3,902,214</w:t>
            </w:r>
          </w:p>
        </w:tc>
        <w:tc>
          <w:tcPr>
            <w:tcW w:w="160" w:type="dxa"/>
            <w:vAlign w:val="bottom"/>
          </w:tcPr>
          <w:p>
            <w:pPr>
              <w:spacing w:after="0"/>
              <w:rPr>
                <w:sz w:val="12"/>
                <w:szCs w:val="12"/>
                <w:color w:val="auto"/>
              </w:rPr>
            </w:pPr>
          </w:p>
        </w:tc>
        <w:tc>
          <w:tcPr>
            <w:tcW w:w="840" w:type="dxa"/>
            <w:vAlign w:val="bottom"/>
          </w:tcPr>
          <w:p>
            <w:pPr>
              <w:jc w:val="right"/>
              <w:ind w:right="8"/>
              <w:spacing w:after="0" w:line="143" w:lineRule="exact"/>
              <w:rPr>
                <w:sz w:val="20"/>
                <w:szCs w:val="20"/>
                <w:color w:val="auto"/>
              </w:rPr>
            </w:pPr>
            <w:r>
              <w:rPr>
                <w:rFonts w:ascii="Arial" w:cs="Arial" w:eastAsia="Arial" w:hAnsi="Arial"/>
                <w:sz w:val="14"/>
                <w:szCs w:val="14"/>
                <w:b w:val="1"/>
                <w:bCs w:val="1"/>
                <w:color w:val="auto"/>
              </w:rPr>
              <w:t>—</w:t>
            </w:r>
          </w:p>
        </w:tc>
        <w:tc>
          <w:tcPr>
            <w:tcW w:w="200" w:type="dxa"/>
            <w:vAlign w:val="bottom"/>
          </w:tcPr>
          <w:p>
            <w:pPr>
              <w:spacing w:after="0"/>
              <w:rPr>
                <w:sz w:val="12"/>
                <w:szCs w:val="12"/>
                <w:color w:val="auto"/>
              </w:rPr>
            </w:pPr>
          </w:p>
        </w:tc>
        <w:tc>
          <w:tcPr>
            <w:tcW w:w="800" w:type="dxa"/>
            <w:vAlign w:val="bottom"/>
          </w:tcPr>
          <w:p>
            <w:pPr>
              <w:jc w:val="right"/>
              <w:spacing w:after="0" w:line="143" w:lineRule="exact"/>
              <w:rPr>
                <w:sz w:val="20"/>
                <w:szCs w:val="20"/>
                <w:color w:val="auto"/>
              </w:rPr>
            </w:pPr>
            <w:r>
              <w:rPr>
                <w:rFonts w:ascii="Arial" w:cs="Arial" w:eastAsia="Arial" w:hAnsi="Arial"/>
                <w:sz w:val="14"/>
                <w:szCs w:val="14"/>
                <w:b w:val="1"/>
                <w:bCs w:val="1"/>
                <w:color w:val="auto"/>
              </w:rPr>
              <w:t>—</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49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Net income attributable to Cango Inc.’s shareholders</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b w:val="1"/>
                <w:bCs w:val="1"/>
                <w:color w:val="auto"/>
                <w:w w:val="96"/>
              </w:rPr>
              <w:t>1,782,980,111</w:t>
            </w:r>
          </w:p>
        </w:tc>
        <w:tc>
          <w:tcPr>
            <w:tcW w:w="10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w w:val="98"/>
              </w:rPr>
              <w:t>(392,526,670)</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rPr>
              <w:t>(60,919,184)</w:t>
            </w:r>
          </w:p>
        </w:tc>
        <w:tc>
          <w:tcPr>
            <w:tcW w:w="10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w w:val="98"/>
              </w:rPr>
              <w:t>1,860,293,872</w:t>
            </w:r>
          </w:p>
        </w:tc>
        <w:tc>
          <w:tcPr>
            <w:tcW w:w="10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rPr>
              <w:t>(68,227,039)</w:t>
            </w:r>
          </w:p>
        </w:tc>
        <w:tc>
          <w:tcPr>
            <w:tcW w:w="9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b w:val="1"/>
                <w:bCs w:val="1"/>
                <w:color w:val="auto"/>
              </w:rPr>
              <w:t>(10,588,669)</w:t>
            </w:r>
          </w:p>
        </w:tc>
        <w:tc>
          <w:tcPr>
            <w:tcW w:w="0" w:type="dxa"/>
            <w:vAlign w:val="bottom"/>
          </w:tcPr>
          <w:p>
            <w:pPr>
              <w:spacing w:after="0"/>
              <w:rPr>
                <w:sz w:val="1"/>
                <w:szCs w:val="1"/>
                <w:color w:val="auto"/>
              </w:rPr>
            </w:pPr>
          </w:p>
        </w:tc>
      </w:tr>
      <w:tr>
        <w:trPr>
          <w:trHeight w:val="20"/>
        </w:trPr>
        <w:tc>
          <w:tcPr>
            <w:tcW w:w="4960" w:type="dxa"/>
            <w:vAlign w:val="bottom"/>
            <w:vMerge w:val="restart"/>
          </w:tcPr>
          <w:p>
            <w:pPr>
              <w:spacing w:after="0"/>
              <w:rPr>
                <w:sz w:val="20"/>
                <w:szCs w:val="20"/>
                <w:color w:val="auto"/>
              </w:rPr>
            </w:pPr>
            <w:r>
              <w:rPr>
                <w:rFonts w:ascii="Arial" w:cs="Arial" w:eastAsia="Arial" w:hAnsi="Arial"/>
                <w:sz w:val="14"/>
                <w:szCs w:val="14"/>
                <w:b w:val="1"/>
                <w:bCs w:val="1"/>
                <w:color w:val="auto"/>
              </w:rPr>
              <w:t>Non-GAAP adjusted net income per ADS-basic</w:t>
            </w:r>
          </w:p>
        </w:tc>
        <w:tc>
          <w:tcPr>
            <w:tcW w:w="8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3"/>
        </w:trPr>
        <w:tc>
          <w:tcPr>
            <w:tcW w:w="4960" w:type="dxa"/>
            <w:vAlign w:val="bottom"/>
            <w:vMerge w:val="continue"/>
          </w:tcPr>
          <w:p>
            <w:pPr>
              <w:spacing w:after="0"/>
              <w:rPr>
                <w:sz w:val="12"/>
                <w:szCs w:val="12"/>
                <w:color w:val="auto"/>
              </w:rPr>
            </w:pPr>
          </w:p>
        </w:tc>
        <w:tc>
          <w:tcPr>
            <w:tcW w:w="880" w:type="dxa"/>
            <w:vAlign w:val="bottom"/>
          </w:tcPr>
          <w:p>
            <w:pPr>
              <w:jc w:val="right"/>
              <w:spacing w:after="0" w:line="143" w:lineRule="exact"/>
              <w:rPr>
                <w:sz w:val="20"/>
                <w:szCs w:val="20"/>
                <w:color w:val="auto"/>
              </w:rPr>
            </w:pPr>
            <w:r>
              <w:rPr>
                <w:rFonts w:ascii="Arial" w:cs="Arial" w:eastAsia="Arial" w:hAnsi="Arial"/>
                <w:sz w:val="14"/>
                <w:szCs w:val="14"/>
                <w:b w:val="1"/>
                <w:bCs w:val="1"/>
                <w:color w:val="auto"/>
              </w:rPr>
              <w:t>11.91</w:t>
            </w:r>
          </w:p>
        </w:tc>
        <w:tc>
          <w:tcPr>
            <w:tcW w:w="140" w:type="dxa"/>
            <w:vAlign w:val="bottom"/>
          </w:tcPr>
          <w:p>
            <w:pPr>
              <w:spacing w:after="0"/>
              <w:rPr>
                <w:sz w:val="12"/>
                <w:szCs w:val="12"/>
                <w:color w:val="auto"/>
              </w:rPr>
            </w:pPr>
          </w:p>
        </w:tc>
        <w:tc>
          <w:tcPr>
            <w:tcW w:w="840" w:type="dxa"/>
            <w:vAlign w:val="bottom"/>
          </w:tcPr>
          <w:p>
            <w:pPr>
              <w:jc w:val="right"/>
              <w:spacing w:after="0" w:line="143" w:lineRule="exact"/>
              <w:rPr>
                <w:sz w:val="20"/>
                <w:szCs w:val="20"/>
                <w:color w:val="auto"/>
              </w:rPr>
            </w:pPr>
            <w:r>
              <w:rPr>
                <w:rFonts w:ascii="Arial" w:cs="Arial" w:eastAsia="Arial" w:hAnsi="Arial"/>
                <w:sz w:val="14"/>
                <w:szCs w:val="14"/>
                <w:b w:val="1"/>
                <w:bCs w:val="1"/>
                <w:color w:val="auto"/>
              </w:rPr>
              <w:t>(2.72)</w:t>
            </w:r>
          </w:p>
        </w:tc>
        <w:tc>
          <w:tcPr>
            <w:tcW w:w="200" w:type="dxa"/>
            <w:vAlign w:val="bottom"/>
          </w:tcPr>
          <w:p>
            <w:pPr>
              <w:spacing w:after="0"/>
              <w:rPr>
                <w:sz w:val="12"/>
                <w:szCs w:val="12"/>
                <w:color w:val="auto"/>
              </w:rPr>
            </w:pPr>
          </w:p>
        </w:tc>
        <w:tc>
          <w:tcPr>
            <w:tcW w:w="780" w:type="dxa"/>
            <w:vAlign w:val="bottom"/>
          </w:tcPr>
          <w:p>
            <w:pPr>
              <w:jc w:val="right"/>
              <w:spacing w:after="0" w:line="143" w:lineRule="exact"/>
              <w:rPr>
                <w:sz w:val="20"/>
                <w:szCs w:val="20"/>
                <w:color w:val="auto"/>
              </w:rPr>
            </w:pPr>
            <w:r>
              <w:rPr>
                <w:rFonts w:ascii="Arial" w:cs="Arial" w:eastAsia="Arial" w:hAnsi="Arial"/>
                <w:sz w:val="14"/>
                <w:szCs w:val="14"/>
                <w:b w:val="1"/>
                <w:bCs w:val="1"/>
                <w:color w:val="auto"/>
              </w:rPr>
              <w:t>(0.42)</w:t>
            </w:r>
          </w:p>
        </w:tc>
        <w:tc>
          <w:tcPr>
            <w:tcW w:w="200" w:type="dxa"/>
            <w:vAlign w:val="bottom"/>
          </w:tcPr>
          <w:p>
            <w:pPr>
              <w:spacing w:after="0"/>
              <w:rPr>
                <w:sz w:val="12"/>
                <w:szCs w:val="12"/>
                <w:color w:val="auto"/>
              </w:rPr>
            </w:pPr>
          </w:p>
        </w:tc>
        <w:tc>
          <w:tcPr>
            <w:tcW w:w="900" w:type="dxa"/>
            <w:vAlign w:val="bottom"/>
          </w:tcPr>
          <w:p>
            <w:pPr>
              <w:jc w:val="right"/>
              <w:spacing w:after="0" w:line="143" w:lineRule="exact"/>
              <w:rPr>
                <w:sz w:val="20"/>
                <w:szCs w:val="20"/>
                <w:color w:val="auto"/>
              </w:rPr>
            </w:pPr>
            <w:r>
              <w:rPr>
                <w:rFonts w:ascii="Arial" w:cs="Arial" w:eastAsia="Arial" w:hAnsi="Arial"/>
                <w:sz w:val="14"/>
                <w:szCs w:val="14"/>
                <w:b w:val="1"/>
                <w:bCs w:val="1"/>
                <w:color w:val="auto"/>
              </w:rPr>
              <w:t>12.37</w:t>
            </w:r>
          </w:p>
        </w:tc>
        <w:tc>
          <w:tcPr>
            <w:tcW w:w="160" w:type="dxa"/>
            <w:vAlign w:val="bottom"/>
          </w:tcPr>
          <w:p>
            <w:pPr>
              <w:spacing w:after="0"/>
              <w:rPr>
                <w:sz w:val="12"/>
                <w:szCs w:val="12"/>
                <w:color w:val="auto"/>
              </w:rPr>
            </w:pPr>
          </w:p>
        </w:tc>
        <w:tc>
          <w:tcPr>
            <w:tcW w:w="840" w:type="dxa"/>
            <w:vAlign w:val="bottom"/>
          </w:tcPr>
          <w:p>
            <w:pPr>
              <w:jc w:val="right"/>
              <w:spacing w:after="0" w:line="143" w:lineRule="exact"/>
              <w:rPr>
                <w:sz w:val="20"/>
                <w:szCs w:val="20"/>
                <w:color w:val="auto"/>
              </w:rPr>
            </w:pPr>
            <w:r>
              <w:rPr>
                <w:rFonts w:ascii="Arial" w:cs="Arial" w:eastAsia="Arial" w:hAnsi="Arial"/>
                <w:sz w:val="14"/>
                <w:szCs w:val="14"/>
                <w:b w:val="1"/>
                <w:bCs w:val="1"/>
                <w:color w:val="auto"/>
              </w:rPr>
              <w:t>(0.47)</w:t>
            </w:r>
          </w:p>
        </w:tc>
        <w:tc>
          <w:tcPr>
            <w:tcW w:w="200" w:type="dxa"/>
            <w:vAlign w:val="bottom"/>
          </w:tcPr>
          <w:p>
            <w:pPr>
              <w:spacing w:after="0"/>
              <w:rPr>
                <w:sz w:val="12"/>
                <w:szCs w:val="12"/>
                <w:color w:val="auto"/>
              </w:rPr>
            </w:pPr>
          </w:p>
        </w:tc>
        <w:tc>
          <w:tcPr>
            <w:tcW w:w="800" w:type="dxa"/>
            <w:vAlign w:val="bottom"/>
          </w:tcPr>
          <w:p>
            <w:pPr>
              <w:jc w:val="right"/>
              <w:spacing w:after="0" w:line="143" w:lineRule="exact"/>
              <w:rPr>
                <w:sz w:val="20"/>
                <w:szCs w:val="20"/>
                <w:color w:val="auto"/>
              </w:rPr>
            </w:pPr>
            <w:r>
              <w:rPr>
                <w:rFonts w:ascii="Arial" w:cs="Arial" w:eastAsia="Arial" w:hAnsi="Arial"/>
                <w:sz w:val="14"/>
                <w:szCs w:val="14"/>
                <w:b w:val="1"/>
                <w:bCs w:val="1"/>
                <w:color w:val="auto"/>
              </w:rPr>
              <w:t>(0.07)</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49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Non-GAAP adjusted net income per ADS-diluted</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b w:val="1"/>
                <w:bCs w:val="1"/>
                <w:color w:val="auto"/>
              </w:rPr>
              <w:t>11.87</w:t>
            </w:r>
          </w:p>
        </w:tc>
        <w:tc>
          <w:tcPr>
            <w:tcW w:w="10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rPr>
              <w:t>(2.72)</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rPr>
              <w:t>(0.42)</w:t>
            </w:r>
          </w:p>
        </w:tc>
        <w:tc>
          <w:tcPr>
            <w:tcW w:w="10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rPr>
              <w:t>12.28</w:t>
            </w:r>
          </w:p>
        </w:tc>
        <w:tc>
          <w:tcPr>
            <w:tcW w:w="10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rPr>
              <w:t>(0.47)</w:t>
            </w:r>
          </w:p>
        </w:tc>
        <w:tc>
          <w:tcPr>
            <w:tcW w:w="9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b w:val="1"/>
                <w:bCs w:val="1"/>
                <w:color w:val="auto"/>
              </w:rPr>
              <w:t>(0.07)</w:t>
            </w:r>
          </w:p>
        </w:tc>
        <w:tc>
          <w:tcPr>
            <w:tcW w:w="0" w:type="dxa"/>
            <w:vAlign w:val="bottom"/>
          </w:tcPr>
          <w:p>
            <w:pPr>
              <w:spacing w:after="0"/>
              <w:rPr>
                <w:sz w:val="1"/>
                <w:szCs w:val="1"/>
                <w:color w:val="auto"/>
              </w:rPr>
            </w:pPr>
          </w:p>
        </w:tc>
      </w:tr>
      <w:tr>
        <w:trPr>
          <w:trHeight w:val="148"/>
        </w:trPr>
        <w:tc>
          <w:tcPr>
            <w:tcW w:w="4960" w:type="dxa"/>
            <w:vAlign w:val="bottom"/>
          </w:tcPr>
          <w:p>
            <w:pPr>
              <w:spacing w:after="0" w:line="149" w:lineRule="exact"/>
              <w:rPr>
                <w:sz w:val="20"/>
                <w:szCs w:val="20"/>
                <w:color w:val="auto"/>
              </w:rPr>
            </w:pPr>
            <w:r>
              <w:rPr>
                <w:rFonts w:ascii="Arial" w:cs="Arial" w:eastAsia="Arial" w:hAnsi="Arial"/>
                <w:sz w:val="14"/>
                <w:szCs w:val="14"/>
                <w:b w:val="1"/>
                <w:bCs w:val="1"/>
                <w:color w:val="auto"/>
              </w:rPr>
              <w:t>Weighted average ADS outstanding—basic</w:t>
            </w:r>
          </w:p>
        </w:tc>
        <w:tc>
          <w:tcPr>
            <w:tcW w:w="1020" w:type="dxa"/>
            <w:vAlign w:val="bottom"/>
            <w:gridSpan w:val="2"/>
          </w:tcPr>
          <w:p>
            <w:pPr>
              <w:jc w:val="right"/>
              <w:ind w:right="140"/>
              <w:spacing w:after="0" w:line="149" w:lineRule="exact"/>
              <w:rPr>
                <w:sz w:val="20"/>
                <w:szCs w:val="20"/>
                <w:color w:val="auto"/>
              </w:rPr>
            </w:pPr>
            <w:r>
              <w:rPr>
                <w:rFonts w:ascii="Arial" w:cs="Arial" w:eastAsia="Arial" w:hAnsi="Arial"/>
                <w:sz w:val="14"/>
                <w:szCs w:val="14"/>
                <w:b w:val="1"/>
                <w:bCs w:val="1"/>
                <w:color w:val="auto"/>
              </w:rPr>
              <w:t>149,706,190</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rPr>
              <w:t>144,470,649</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w w:val="97"/>
              </w:rPr>
              <w:t>144,470,649</w:t>
            </w:r>
          </w:p>
        </w:tc>
        <w:tc>
          <w:tcPr>
            <w:tcW w:w="1060" w:type="dxa"/>
            <w:vAlign w:val="bottom"/>
            <w:gridSpan w:val="2"/>
          </w:tcPr>
          <w:p>
            <w:pPr>
              <w:jc w:val="right"/>
              <w:ind w:right="160"/>
              <w:spacing w:after="0" w:line="149" w:lineRule="exact"/>
              <w:rPr>
                <w:sz w:val="20"/>
                <w:szCs w:val="20"/>
                <w:color w:val="auto"/>
              </w:rPr>
            </w:pPr>
            <w:r>
              <w:rPr>
                <w:rFonts w:ascii="Arial" w:cs="Arial" w:eastAsia="Arial" w:hAnsi="Arial"/>
                <w:sz w:val="14"/>
                <w:szCs w:val="14"/>
                <w:b w:val="1"/>
                <w:bCs w:val="1"/>
                <w:color w:val="auto"/>
              </w:rPr>
              <w:t>150,425,738</w:t>
            </w:r>
          </w:p>
        </w:tc>
        <w:tc>
          <w:tcPr>
            <w:tcW w:w="104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rPr>
              <w:t>146,155,678</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b w:val="1"/>
                <w:bCs w:val="1"/>
                <w:color w:val="auto"/>
              </w:rPr>
              <w:t>146,155,678</w:t>
            </w:r>
          </w:p>
        </w:tc>
        <w:tc>
          <w:tcPr>
            <w:tcW w:w="0" w:type="dxa"/>
            <w:vAlign w:val="bottom"/>
          </w:tcPr>
          <w:p>
            <w:pPr>
              <w:spacing w:after="0"/>
              <w:rPr>
                <w:sz w:val="1"/>
                <w:szCs w:val="1"/>
                <w:color w:val="auto"/>
              </w:rPr>
            </w:pPr>
          </w:p>
        </w:tc>
      </w:tr>
      <w:tr>
        <w:trPr>
          <w:trHeight w:val="148"/>
        </w:trPr>
        <w:tc>
          <w:tcPr>
            <w:tcW w:w="49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Weighted average ADS outstanding—diluted</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b w:val="1"/>
                <w:bCs w:val="1"/>
                <w:color w:val="auto"/>
              </w:rPr>
              <w:t>150,185,842</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b w:val="1"/>
                <w:bCs w:val="1"/>
                <w:color w:val="auto"/>
              </w:rPr>
              <w:t>144,470,649</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b w:val="1"/>
                <w:bCs w:val="1"/>
                <w:color w:val="auto"/>
                <w:w w:val="97"/>
              </w:rPr>
              <w:t>144,470,649</w:t>
            </w:r>
          </w:p>
        </w:tc>
        <w:tc>
          <w:tcPr>
            <w:tcW w:w="10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b w:val="1"/>
                <w:bCs w:val="1"/>
                <w:color w:val="auto"/>
              </w:rPr>
              <w:t>151,520,229</w:t>
            </w:r>
          </w:p>
        </w:tc>
        <w:tc>
          <w:tcPr>
            <w:tcW w:w="10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b w:val="1"/>
                <w:bCs w:val="1"/>
                <w:color w:val="auto"/>
              </w:rPr>
              <w:t>146,155,678</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b w:val="1"/>
                <w:bCs w:val="1"/>
                <w:color w:val="auto"/>
              </w:rPr>
              <w:t>146,155,678</w:t>
            </w:r>
          </w:p>
        </w:tc>
        <w:tc>
          <w:tcPr>
            <w:tcW w:w="0" w:type="dxa"/>
            <w:vAlign w:val="bottom"/>
          </w:tcPr>
          <w:p>
            <w:pPr>
              <w:spacing w:after="0"/>
              <w:rPr>
                <w:sz w:val="1"/>
                <w:szCs w:val="1"/>
                <w:color w:val="auto"/>
              </w:rPr>
            </w:pPr>
          </w:p>
        </w:tc>
      </w:tr>
    </w:tbl>
    <w:p>
      <w:pPr>
        <w:spacing w:after="0" w:line="134" w:lineRule="exact"/>
        <w:rPr>
          <w:sz w:val="20"/>
          <w:szCs w:val="20"/>
          <w:color w:val="auto"/>
        </w:rPr>
      </w:pPr>
    </w:p>
    <w:p>
      <w:pPr>
        <w:jc w:val="center"/>
        <w:ind w:right="20"/>
        <w:spacing w:after="0"/>
        <w:rPr>
          <w:sz w:val="20"/>
          <w:szCs w:val="20"/>
          <w:color w:val="auto"/>
        </w:rPr>
      </w:pPr>
      <w:r>
        <w:rPr>
          <w:rFonts w:ascii="Arial" w:cs="Arial" w:eastAsia="Arial" w:hAnsi="Arial"/>
          <w:sz w:val="18"/>
          <w:szCs w:val="18"/>
          <w:color w:val="auto"/>
        </w:rPr>
        <w:t>9</w:t>
      </w:r>
    </w:p>
    <w:sectPr>
      <w:pgSz w:w="11900" w:h="16838" w:orient="portrait"/>
      <w:cols w:equalWidth="0" w:num="1">
        <w:col w:w="11020"/>
      </w:cols>
      <w:pgMar w:left="440" w:top="270" w:right="4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
      <w:numFmt w:val="bullet"/>
      <w:start w:val="1"/>
    </w:lvl>
  </w:abstractNum>
  <w:abstractNum w:abstractNumId="2">
    <w:nsid w:val="19495CFF"/>
    <w:multiLevelType w:val="hybridMultilevel"/>
    <w:lvl w:ilvl="0">
      <w:lvlJc w:val="left"/>
      <w:lvlText w:val="•"/>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2021-11-24T05:34:57Z</dcterms:created>
  <dcterms:modified xsi:type="dcterms:W3CDTF">2021-11-24T05:34:57Z</dcterms:modified>
</cp:coreProperties>
</file>